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rsidR="00B9102C" w:rsidRDefault="00B9102C" w:rsidP="00B9102C"/>
    <w:p w:rsidR="009F453D" w:rsidRDefault="009F453D" w:rsidP="00B9102C"/>
    <w:p w:rsidR="009F453D" w:rsidRDefault="009F453D" w:rsidP="009F453D">
      <w:pPr>
        <w:jc w:val="center"/>
      </w:pPr>
      <w:r>
        <w:t xml:space="preserve">Ce sujet a été réalisé à partir de la maquette proposée </w:t>
      </w:r>
      <w:r>
        <w:br/>
        <w:t xml:space="preserve">par le </w:t>
      </w:r>
      <w:r w:rsidRPr="009F453D">
        <w:rPr>
          <w:b/>
          <w:u w:val="single"/>
        </w:rPr>
        <w:t>site académique de physique-chimie de l’académie de Versailles</w:t>
      </w:r>
      <w:r w:rsidR="006002D6">
        <w:t xml:space="preserve"> </w:t>
      </w:r>
      <w:r w:rsidR="006002D6">
        <w:br/>
      </w:r>
      <w:r w:rsidR="006002D6" w:rsidRPr="006002D6">
        <w:t>http</w:t>
      </w:r>
      <w:r w:rsidR="006002D6">
        <w:t>://www.phychim.ac-versailles.fr</w:t>
      </w:r>
    </w:p>
    <w:p w:rsidR="009F453D" w:rsidRDefault="009F453D" w:rsidP="009F453D">
      <w:pPr>
        <w:jc w:val="center"/>
      </w:pPr>
    </w:p>
    <w:p w:rsidR="009F453D" w:rsidRDefault="009F453D" w:rsidP="009F453D">
      <w:pPr>
        <w:jc w:val="center"/>
      </w:pPr>
    </w:p>
    <w:p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E811AA" w:rsidRDefault="00E811AA" w:rsidP="002569E1">
      <w:pPr>
        <w:ind w:left="567" w:right="559"/>
        <w:rPr>
          <w:rFonts w:eastAsia="Times New Roman" w:cs="Arial"/>
          <w:szCs w:val="20"/>
        </w:rPr>
      </w:pPr>
    </w:p>
    <w:p w:rsidR="00E811AA" w:rsidRPr="00E95CDC" w:rsidRDefault="00E811AA" w:rsidP="002569E1">
      <w:pPr>
        <w:ind w:left="567" w:right="559"/>
        <w:rPr>
          <w:rFonts w:eastAsia="Times New Roman" w:cs="Arial"/>
          <w:szCs w:val="20"/>
        </w:rPr>
      </w:pPr>
      <w:r w:rsidRPr="00E95CDC">
        <w:rPr>
          <w:rFonts w:eastAsia="Times New Roman" w:cs="Arial"/>
          <w:szCs w:val="20"/>
        </w:rPr>
        <w:t>Les modalités de l’épreuve décrites ci-après</w:t>
      </w:r>
      <w:r w:rsidR="003718F5">
        <w:rPr>
          <w:rFonts w:eastAsia="Times New Roman" w:cs="Arial"/>
          <w:szCs w:val="20"/>
        </w:rPr>
        <w:t xml:space="preserve"> - notamment</w:t>
      </w:r>
      <w:r w:rsidR="00E95CDC" w:rsidRPr="00E95CDC">
        <w:rPr>
          <w:rFonts w:eastAsia="Times New Roman" w:cs="Arial"/>
          <w:szCs w:val="20"/>
        </w:rPr>
        <w:t xml:space="preserve"> l’évaluation </w:t>
      </w:r>
      <w:r w:rsidR="003718F5">
        <w:rPr>
          <w:rFonts w:eastAsia="Times New Roman" w:cs="Arial"/>
          <w:szCs w:val="20"/>
        </w:rPr>
        <w:t xml:space="preserve">de la maîtrise </w:t>
      </w:r>
      <w:r w:rsidR="00E95CDC" w:rsidRPr="00E95CDC">
        <w:rPr>
          <w:rFonts w:eastAsia="Times New Roman" w:cs="Arial"/>
          <w:szCs w:val="20"/>
        </w:rPr>
        <w:t xml:space="preserve">des compétences </w:t>
      </w:r>
      <w:r w:rsidR="00E95CDC" w:rsidRPr="00E95CDC">
        <w:rPr>
          <w:rFonts w:eastAsia="Times New Roman" w:cs="Arial"/>
          <w:i/>
          <w:szCs w:val="20"/>
        </w:rPr>
        <w:t>s’approprier</w:t>
      </w:r>
      <w:r w:rsidR="00E95CDC" w:rsidRPr="00E95CDC">
        <w:rPr>
          <w:rFonts w:eastAsia="Times New Roman" w:cs="Arial"/>
          <w:szCs w:val="20"/>
        </w:rPr>
        <w:t xml:space="preserve">, </w:t>
      </w:r>
      <w:r w:rsidR="00E95CDC" w:rsidRPr="00E95CDC">
        <w:rPr>
          <w:rFonts w:eastAsia="Times New Roman" w:cs="Arial"/>
          <w:i/>
          <w:szCs w:val="20"/>
        </w:rPr>
        <w:t>analyser</w:t>
      </w:r>
      <w:r w:rsidR="00E95CDC" w:rsidRPr="00E95CDC">
        <w:rPr>
          <w:rFonts w:eastAsia="Times New Roman" w:cs="Arial"/>
          <w:szCs w:val="20"/>
        </w:rPr>
        <w:t xml:space="preserve">, </w:t>
      </w:r>
      <w:r w:rsidR="00E95CDC" w:rsidRPr="00E95CDC">
        <w:rPr>
          <w:rFonts w:eastAsia="Times New Roman" w:cs="Arial"/>
          <w:i/>
          <w:szCs w:val="20"/>
        </w:rPr>
        <w:t>réaliser</w:t>
      </w:r>
      <w:r w:rsidR="00E95CDC" w:rsidRPr="00E95CDC">
        <w:rPr>
          <w:rFonts w:eastAsia="Times New Roman" w:cs="Arial"/>
          <w:szCs w:val="20"/>
        </w:rPr>
        <w:t xml:space="preserve">, </w:t>
      </w:r>
      <w:r w:rsidR="00E95CDC" w:rsidRPr="00E95CDC">
        <w:rPr>
          <w:rFonts w:eastAsia="Times New Roman" w:cs="Arial"/>
          <w:i/>
          <w:szCs w:val="20"/>
        </w:rPr>
        <w:t>valider</w:t>
      </w:r>
      <w:r w:rsidR="00E95CDC" w:rsidRPr="00E95CDC">
        <w:rPr>
          <w:rFonts w:eastAsia="Times New Roman" w:cs="Arial"/>
          <w:szCs w:val="20"/>
        </w:rPr>
        <w:t xml:space="preserve"> et </w:t>
      </w:r>
      <w:r w:rsidR="00E95CDC" w:rsidRPr="00E95CDC">
        <w:rPr>
          <w:rFonts w:eastAsia="Times New Roman" w:cs="Arial"/>
          <w:i/>
          <w:szCs w:val="20"/>
        </w:rPr>
        <w:t>communiquer</w:t>
      </w:r>
      <w:r w:rsidR="00E95CDC" w:rsidRPr="00E95CDC">
        <w:rPr>
          <w:rFonts w:eastAsia="Times New Roman" w:cs="Arial"/>
          <w:szCs w:val="20"/>
        </w:rPr>
        <w:t xml:space="preserve"> - constituent </w:t>
      </w:r>
      <w:r w:rsidR="00E95CDC" w:rsidRPr="00E95CDC">
        <w:rPr>
          <w:rFonts w:eastAsia="Times New Roman" w:cs="Arial"/>
          <w:b/>
          <w:szCs w:val="20"/>
          <w:u w:val="single"/>
        </w:rPr>
        <w:t>l’une des possibilités</w:t>
      </w:r>
      <w:r w:rsidR="00E95CDC" w:rsidRPr="00E95CDC">
        <w:rPr>
          <w:rFonts w:eastAsia="Times New Roman" w:cs="Arial"/>
          <w:szCs w:val="20"/>
        </w:rPr>
        <w:t xml:space="preserve"> s’inscrivant dans ce </w:t>
      </w:r>
      <w:r w:rsidRPr="00E95CDC">
        <w:rPr>
          <w:rFonts w:eastAsia="Times New Roman" w:cs="Arial"/>
          <w:szCs w:val="20"/>
        </w:rPr>
        <w:t xml:space="preserve">cadre réglementaire. </w:t>
      </w:r>
    </w:p>
    <w:p w:rsidR="00FF1383" w:rsidRPr="006A2753" w:rsidRDefault="005725E5" w:rsidP="002569E1">
      <w:pPr>
        <w:spacing w:before="360" w:after="360"/>
        <w:ind w:left="567" w:right="559"/>
        <w:jc w:val="center"/>
        <w:rPr>
          <w:b/>
          <w:sz w:val="22"/>
          <w:u w:val="single"/>
        </w:rPr>
      </w:pPr>
      <w:r w:rsidRPr="006A2753">
        <w:rPr>
          <w:b/>
          <w:sz w:val="22"/>
          <w:u w:val="single"/>
        </w:rPr>
        <w:t xml:space="preserve">Présentation </w:t>
      </w:r>
      <w:r w:rsidR="0096203F" w:rsidRPr="006A2753">
        <w:rPr>
          <w:b/>
          <w:sz w:val="22"/>
          <w:u w:val="single"/>
        </w:rPr>
        <w:t>de l’épreuve</w:t>
      </w:r>
    </w:p>
    <w:p w:rsidR="00163E6E" w:rsidRDefault="00FF1383" w:rsidP="002569E1">
      <w:pPr>
        <w:ind w:left="567" w:right="559"/>
      </w:pPr>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rsidR="0024102A" w:rsidRDefault="0024102A" w:rsidP="002569E1">
      <w:pPr>
        <w:ind w:left="567" w:right="559"/>
        <w:rPr>
          <w:szCs w:val="20"/>
        </w:rPr>
      </w:pPr>
    </w:p>
    <w:p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rsidR="005A5EBB" w:rsidRPr="006A2753" w:rsidRDefault="005A5EBB" w:rsidP="002569E1">
      <w:pPr>
        <w:pStyle w:val="Paragraphedeliste"/>
        <w:numPr>
          <w:ilvl w:val="0"/>
          <w:numId w:val="5"/>
        </w:numPr>
        <w:ind w:left="993" w:right="559"/>
      </w:pPr>
      <w:r w:rsidRPr="006A2753">
        <w:t>la capacité du candidat à s’exprimer en utilisant une syntaxe claire,</w:t>
      </w:r>
    </w:p>
    <w:p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rsidR="000B16E3" w:rsidRPr="006A2753" w:rsidRDefault="000B16E3" w:rsidP="000B16E3"/>
    <w:p w:rsidR="00050459" w:rsidRPr="006A2753" w:rsidRDefault="00050459">
      <w:pPr>
        <w:spacing w:after="0"/>
        <w:jc w:val="left"/>
        <w:rPr>
          <w:b/>
        </w:rPr>
      </w:pPr>
      <w:r w:rsidRPr="006A2753">
        <w:rPr>
          <w:b/>
        </w:rPr>
        <w:br w:type="page"/>
      </w:r>
    </w:p>
    <w:p w:rsidR="00C47225" w:rsidRPr="006A2753" w:rsidRDefault="00A90624" w:rsidP="005C4CF4">
      <w:pPr>
        <w:pStyle w:val="Titre1"/>
      </w:pPr>
      <w:bookmarkStart w:id="0" w:name="_Toc348952299"/>
      <w:r w:rsidRPr="006A2753">
        <w:lastRenderedPageBreak/>
        <w:t xml:space="preserve">FICHE N° </w:t>
      </w:r>
      <w:r w:rsidR="005C4CF4" w:rsidRPr="006A2753">
        <w:t>2</w:t>
      </w:r>
      <w:r w:rsidRPr="006A2753">
        <w:t xml:space="preserve"> : </w:t>
      </w:r>
      <w:r w:rsidR="00C47225" w:rsidRPr="006A2753">
        <w:t>ÉNONCÉ DESTINÉ AU CANDIDAT</w:t>
      </w:r>
      <w:bookmarkEnd w:id="0"/>
    </w:p>
    <w:p w:rsidR="000D0DFE" w:rsidRPr="006A2753" w:rsidRDefault="000D0DFE" w:rsidP="005C4CF4">
      <w:pPr>
        <w:spacing w:after="0"/>
        <w:rPr>
          <w:rFonts w:cs="Arial"/>
          <w:color w:val="000000"/>
          <w:szCs w:val="20"/>
        </w:rPr>
      </w:pP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rsidR="000D0DFE" w:rsidRPr="006A2753" w:rsidRDefault="000D0DFE" w:rsidP="005C4CF4">
      <w:pPr>
        <w:spacing w:after="0"/>
        <w:rPr>
          <w:rFonts w:cs="Arial"/>
          <w:color w:val="000000"/>
          <w:szCs w:val="20"/>
        </w:rPr>
      </w:pPr>
    </w:p>
    <w:p w:rsidR="00C47225" w:rsidRPr="006A2753" w:rsidRDefault="00050459" w:rsidP="005C4CF4">
      <w:pPr>
        <w:pStyle w:val="Sansinterligne"/>
      </w:pPr>
      <w:r w:rsidRPr="006A2753">
        <w:t>Exercice n°</w:t>
      </w:r>
      <w:r w:rsidR="00D74185" w:rsidRPr="006A2753">
        <w:t>1</w:t>
      </w:r>
    </w:p>
    <w:p w:rsidR="002569E1" w:rsidRDefault="00B23DB6" w:rsidP="008B377A">
      <w:pPr>
        <w:autoSpaceDE w:val="0"/>
        <w:autoSpaceDN w:val="0"/>
        <w:adjustRightInd w:val="0"/>
        <w:spacing w:before="120" w:after="120"/>
        <w:rPr>
          <w:szCs w:val="20"/>
        </w:rPr>
      </w:pPr>
      <w:r w:rsidRPr="006A2753">
        <w:rPr>
          <w:szCs w:val="20"/>
        </w:rPr>
        <w:t>On dispose d’un vinaigre</w:t>
      </w:r>
      <w:r w:rsidR="002569E1">
        <w:rPr>
          <w:szCs w:val="20"/>
        </w:rPr>
        <w:t>….</w:t>
      </w:r>
    </w:p>
    <w:p w:rsidR="003C06C2" w:rsidRPr="006A2753" w:rsidRDefault="003C06C2" w:rsidP="003C06C2">
      <w:pPr>
        <w:pStyle w:val="Titresoulign"/>
      </w:pPr>
      <w:r w:rsidRPr="006A2753">
        <w:t>Question</w:t>
      </w:r>
    </w:p>
    <w:p w:rsidR="003C06C2" w:rsidRDefault="003C06C2" w:rsidP="003C06C2"/>
    <w:p w:rsidR="00050459" w:rsidRPr="006A2753" w:rsidRDefault="00050459" w:rsidP="005C4CF4">
      <w:pPr>
        <w:pStyle w:val="Sansinterligne"/>
      </w:pPr>
      <w:r w:rsidRPr="006A2753">
        <w:t>Exercice n°2</w:t>
      </w:r>
    </w:p>
    <w:p w:rsidR="00050459" w:rsidRDefault="00050459" w:rsidP="003C06C2">
      <w:pPr>
        <w:pStyle w:val="Titresoulign"/>
      </w:pPr>
      <w:r w:rsidRPr="006A2753">
        <w:t>Contexte du sujet</w:t>
      </w:r>
      <w:r w:rsidR="003C06C2">
        <w:t xml:space="preserve"> (éventuellement)</w:t>
      </w:r>
    </w:p>
    <w:p w:rsidR="002569E1" w:rsidRPr="006A2753" w:rsidRDefault="002569E1" w:rsidP="002569E1"/>
    <w:tbl>
      <w:tblPr>
        <w:tblStyle w:val="Grilledutableau"/>
        <w:tblW w:w="5000" w:type="pct"/>
        <w:tblCellMar>
          <w:top w:w="113" w:type="dxa"/>
          <w:bottom w:w="113" w:type="dxa"/>
        </w:tblCellMar>
        <w:tblLook w:val="04A0" w:firstRow="1" w:lastRow="0" w:firstColumn="1" w:lastColumn="0" w:noHBand="0" w:noVBand="1"/>
      </w:tblPr>
      <w:tblGrid>
        <w:gridCol w:w="10188"/>
      </w:tblGrid>
      <w:tr w:rsidR="002569E1" w:rsidTr="005E7DC7">
        <w:tc>
          <w:tcPr>
            <w:tcW w:w="10414" w:type="dxa"/>
          </w:tcPr>
          <w:p w:rsidR="002569E1" w:rsidRDefault="005E7DC7" w:rsidP="003C06C2">
            <w:pPr>
              <w:pStyle w:val="Titresoulign"/>
              <w:spacing w:before="0"/>
            </w:pPr>
            <w:r>
              <w:t>T</w:t>
            </w:r>
            <w:r w:rsidR="002569E1">
              <w:t>itre du document</w:t>
            </w:r>
            <w:r>
              <w:t xml:space="preserve"> ou du paragraphe d’informations fournies au candidat</w:t>
            </w:r>
            <w:r w:rsidR="002569E1">
              <w:t xml:space="preserve"> </w:t>
            </w:r>
          </w:p>
          <w:p w:rsidR="002569E1" w:rsidRDefault="002569E1" w:rsidP="002569E1">
            <w:r>
              <w:t>premier type de document : en une colonne.</w:t>
            </w:r>
          </w:p>
        </w:tc>
      </w:tr>
    </w:tbl>
    <w:p w:rsidR="002569E1" w:rsidRDefault="002569E1" w:rsidP="002569E1"/>
    <w:tbl>
      <w:tblPr>
        <w:tblStyle w:val="Grilledutableau"/>
        <w:tblW w:w="5000" w:type="pct"/>
        <w:jc w:val="center"/>
        <w:tblCellMar>
          <w:top w:w="113" w:type="dxa"/>
          <w:bottom w:w="113" w:type="dxa"/>
        </w:tblCellMar>
        <w:tblLook w:val="04A0" w:firstRow="1" w:lastRow="0" w:firstColumn="1" w:lastColumn="0" w:noHBand="0" w:noVBand="1"/>
      </w:tblPr>
      <w:tblGrid>
        <w:gridCol w:w="5094"/>
        <w:gridCol w:w="5094"/>
      </w:tblGrid>
      <w:tr w:rsidR="003C06C2" w:rsidTr="003C06C2">
        <w:trPr>
          <w:jc w:val="center"/>
        </w:trPr>
        <w:tc>
          <w:tcPr>
            <w:tcW w:w="2500" w:type="pct"/>
          </w:tcPr>
          <w:p w:rsidR="003C06C2" w:rsidRPr="003C06C2" w:rsidRDefault="003C06C2" w:rsidP="003C06C2">
            <w:pPr>
              <w:pStyle w:val="Titresoulign"/>
              <w:spacing w:before="0"/>
            </w:pPr>
            <w:r w:rsidRPr="003C06C2">
              <w:t xml:space="preserve">Document 1 : titre du document </w:t>
            </w:r>
          </w:p>
          <w:p w:rsidR="003C06C2" w:rsidRDefault="003C06C2" w:rsidP="00F55661">
            <w:r>
              <w:t>en deux colonnes.</w:t>
            </w:r>
          </w:p>
          <w:p w:rsidR="003C06C2" w:rsidRDefault="003C06C2" w:rsidP="00F55661">
            <w:pPr>
              <w:tabs>
                <w:tab w:val="left" w:pos="3135"/>
              </w:tabs>
            </w:pPr>
          </w:p>
          <w:p w:rsidR="003C06C2" w:rsidRDefault="003C06C2" w:rsidP="00F55661"/>
        </w:tc>
        <w:tc>
          <w:tcPr>
            <w:tcW w:w="2500" w:type="pct"/>
          </w:tcPr>
          <w:p w:rsidR="003C06C2" w:rsidRPr="003E6D40" w:rsidRDefault="003C06C2" w:rsidP="003C06C2">
            <w:r>
              <w:t xml:space="preserve">Suite du texte, ou illustration. </w:t>
            </w:r>
          </w:p>
        </w:tc>
      </w:tr>
    </w:tbl>
    <w:p w:rsidR="002569E1" w:rsidRDefault="002569E1" w:rsidP="002569E1"/>
    <w:p w:rsidR="00050459" w:rsidRPr="006A2753" w:rsidRDefault="003D6BD4" w:rsidP="003C06C2">
      <w:pPr>
        <w:pStyle w:val="Titresoulign"/>
      </w:pPr>
      <w:r w:rsidRPr="006A2753">
        <w:t>Question</w:t>
      </w:r>
    </w:p>
    <w:p w:rsidR="00050459" w:rsidRPr="006A2753" w:rsidRDefault="00050459" w:rsidP="00050459"/>
    <w:p w:rsidR="00932A1B" w:rsidRPr="006A2753" w:rsidRDefault="00932A1B">
      <w:pPr>
        <w:rPr>
          <w:rFonts w:cs="Arial"/>
          <w:szCs w:val="20"/>
        </w:rPr>
      </w:pPr>
      <w:r w:rsidRPr="006A2753">
        <w:rPr>
          <w:rFonts w:cs="Arial"/>
          <w:szCs w:val="20"/>
        </w:rPr>
        <w:br w:type="page"/>
      </w:r>
    </w:p>
    <w:p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rsidR="00B9102C" w:rsidRPr="006A2753" w:rsidRDefault="00B9102C" w:rsidP="003C06C2">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A0" w:firstRow="1" w:lastRow="0" w:firstColumn="1" w:lastColumn="0" w:noHBand="0" w:noVBand="0"/>
      </w:tblPr>
      <w:tblGrid>
        <w:gridCol w:w="5073"/>
        <w:gridCol w:w="5115"/>
      </w:tblGrid>
      <w:tr w:rsidR="00B9102C" w:rsidRPr="006A2753" w:rsidTr="005E7DC7">
        <w:trPr>
          <w:trHeight w:val="340"/>
        </w:trPr>
        <w:tc>
          <w:tcPr>
            <w:tcW w:w="5192" w:type="dxa"/>
          </w:tcPr>
          <w:p w:rsidR="00B9102C" w:rsidRPr="006A2753" w:rsidRDefault="00B9102C" w:rsidP="00AC0378">
            <w:pPr>
              <w:snapToGrid w:val="0"/>
              <w:spacing w:before="60"/>
              <w:jc w:val="center"/>
              <w:rPr>
                <w:rFonts w:cs="Arial"/>
                <w:b/>
                <w:szCs w:val="20"/>
              </w:rPr>
            </w:pPr>
            <w:r w:rsidRPr="006A2753">
              <w:rPr>
                <w:rFonts w:cs="Arial"/>
                <w:b/>
                <w:szCs w:val="20"/>
              </w:rPr>
              <w:t>Notions et contenus</w:t>
            </w:r>
          </w:p>
        </w:tc>
        <w:tc>
          <w:tcPr>
            <w:tcW w:w="5222" w:type="dxa"/>
            <w:shd w:val="clear" w:color="auto" w:fill="auto"/>
          </w:tcPr>
          <w:p w:rsidR="00B9102C" w:rsidRPr="006A2753" w:rsidRDefault="00B9102C" w:rsidP="00AC0378">
            <w:pPr>
              <w:snapToGrid w:val="0"/>
              <w:spacing w:before="60"/>
              <w:jc w:val="center"/>
              <w:rPr>
                <w:rFonts w:cs="Arial"/>
                <w:b/>
                <w:szCs w:val="20"/>
              </w:rPr>
            </w:pPr>
            <w:r w:rsidRPr="006A2753">
              <w:rPr>
                <w:rFonts w:cs="Arial"/>
                <w:b/>
                <w:szCs w:val="20"/>
              </w:rPr>
              <w:t>Compétences exigibles</w:t>
            </w:r>
          </w:p>
        </w:tc>
      </w:tr>
      <w:tr w:rsidR="00B9102C" w:rsidRPr="006A2753" w:rsidTr="005E7DC7">
        <w:tc>
          <w:tcPr>
            <w:tcW w:w="5192" w:type="dxa"/>
          </w:tcPr>
          <w:p w:rsidR="00B9102C" w:rsidRPr="006A2753" w:rsidRDefault="00B9102C" w:rsidP="00AC0378">
            <w:pPr>
              <w:pStyle w:val="Default"/>
              <w:jc w:val="both"/>
              <w:rPr>
                <w:sz w:val="20"/>
                <w:szCs w:val="20"/>
              </w:rPr>
            </w:pPr>
          </w:p>
        </w:tc>
        <w:tc>
          <w:tcPr>
            <w:tcW w:w="5222" w:type="dxa"/>
            <w:shd w:val="clear" w:color="auto" w:fill="auto"/>
          </w:tcPr>
          <w:p w:rsidR="00B9102C" w:rsidRPr="006A2753" w:rsidRDefault="00B9102C" w:rsidP="00AC0378">
            <w:pPr>
              <w:pStyle w:val="Default"/>
              <w:jc w:val="both"/>
              <w:rPr>
                <w:sz w:val="20"/>
                <w:szCs w:val="20"/>
              </w:rPr>
            </w:pPr>
          </w:p>
        </w:tc>
      </w:tr>
      <w:tr w:rsidR="00B9102C" w:rsidRPr="006A2753" w:rsidTr="005E7DC7">
        <w:tc>
          <w:tcPr>
            <w:tcW w:w="5192" w:type="dxa"/>
          </w:tcPr>
          <w:p w:rsidR="00B9102C" w:rsidRPr="006A2753" w:rsidRDefault="00B9102C" w:rsidP="00AC0378">
            <w:pPr>
              <w:pStyle w:val="Default"/>
              <w:jc w:val="both"/>
              <w:rPr>
                <w:sz w:val="20"/>
                <w:szCs w:val="20"/>
              </w:rPr>
            </w:pPr>
          </w:p>
        </w:tc>
        <w:tc>
          <w:tcPr>
            <w:tcW w:w="5222" w:type="dxa"/>
            <w:shd w:val="clear" w:color="auto" w:fill="auto"/>
          </w:tcPr>
          <w:p w:rsidR="00B9102C" w:rsidRPr="006A2753" w:rsidRDefault="00B9102C" w:rsidP="00AC0378">
            <w:pPr>
              <w:pStyle w:val="Default"/>
              <w:jc w:val="both"/>
              <w:rPr>
                <w:sz w:val="20"/>
                <w:szCs w:val="20"/>
              </w:rPr>
            </w:pPr>
          </w:p>
        </w:tc>
      </w:tr>
    </w:tbl>
    <w:p w:rsidR="003475F5" w:rsidRPr="006A2753" w:rsidRDefault="003475F5" w:rsidP="003C06C2">
      <w:pPr>
        <w:pStyle w:val="Titresoulign"/>
      </w:pPr>
      <w:r w:rsidRPr="006A2753">
        <w:t xml:space="preserve">Éléments de correction à destination de l’examinateur </w:t>
      </w:r>
    </w:p>
    <w:tbl>
      <w:tblPr>
        <w:tblStyle w:val="Grilledutableau"/>
        <w:tblW w:w="0" w:type="auto"/>
        <w:tblLayout w:type="fixed"/>
        <w:tblCellMar>
          <w:top w:w="57" w:type="dxa"/>
          <w:bottom w:w="57" w:type="dxa"/>
        </w:tblCellMar>
        <w:tblLook w:val="04A0" w:firstRow="1" w:lastRow="0" w:firstColumn="1" w:lastColumn="0" w:noHBand="0" w:noVBand="1"/>
      </w:tblPr>
      <w:tblGrid>
        <w:gridCol w:w="8472"/>
        <w:gridCol w:w="1701"/>
      </w:tblGrid>
      <w:tr w:rsidR="00AB4497" w:rsidRPr="006A2753" w:rsidTr="005E7DC7">
        <w:tc>
          <w:tcPr>
            <w:tcW w:w="8472" w:type="dxa"/>
            <w:tcBorders>
              <w:top w:val="nil"/>
              <w:left w:val="nil"/>
              <w:bottom w:val="single" w:sz="4" w:space="0" w:color="auto"/>
              <w:right w:val="single" w:sz="4" w:space="0" w:color="auto"/>
            </w:tcBorders>
            <w:hideMark/>
          </w:tcPr>
          <w:p w:rsidR="00AB4497" w:rsidRPr="006A2753" w:rsidRDefault="00897C6A" w:rsidP="003C06C2">
            <w:pPr>
              <w:keepNext/>
              <w:keepLines/>
              <w:spacing w:before="120" w:line="264" w:lineRule="auto"/>
              <w:outlineLvl w:val="2"/>
              <w:rPr>
                <w:rFonts w:eastAsiaTheme="majorEastAsia" w:cstheme="majorBidi"/>
                <w:b/>
                <w:bCs/>
                <w:szCs w:val="22"/>
                <w:lang w:eastAsia="en-US"/>
              </w:rPr>
            </w:pPr>
            <w:r w:rsidRPr="006A275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B4497" w:rsidRPr="006A2753" w:rsidRDefault="00AB4497" w:rsidP="005E7DC7">
            <w:pPr>
              <w:keepNext/>
              <w:keepLines/>
              <w:spacing w:after="0" w:line="264" w:lineRule="auto"/>
              <w:outlineLvl w:val="2"/>
              <w:rPr>
                <w:rFonts w:eastAsiaTheme="majorEastAsia" w:cstheme="majorBidi"/>
                <w:b/>
                <w:bCs/>
                <w:szCs w:val="22"/>
                <w:lang w:eastAsia="en-US"/>
              </w:rPr>
            </w:pPr>
            <w:r w:rsidRPr="006A2753">
              <w:rPr>
                <w:rFonts w:eastAsiaTheme="majorEastAsia" w:cstheme="majorBidi"/>
                <w:b/>
                <w:bCs/>
              </w:rPr>
              <w:t>Compétences</w:t>
            </w:r>
          </w:p>
        </w:tc>
      </w:tr>
      <w:tr w:rsidR="00AB4497" w:rsidRPr="006A2753" w:rsidTr="005E7DC7">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AB4497" w:rsidP="003C06C2">
            <w:pPr>
              <w:rPr>
                <w:lang w:val="en-US" w:eastAsia="en-US"/>
              </w:rPr>
            </w:pP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AB4497" w:rsidP="00067346">
            <w:pPr>
              <w:spacing w:line="264" w:lineRule="auto"/>
              <w:rPr>
                <w:rFonts w:eastAsia="Calibri" w:cs="Times New Roman"/>
                <w:szCs w:val="20"/>
                <w:lang w:eastAsia="en-US"/>
              </w:rPr>
            </w:pPr>
          </w:p>
        </w:tc>
      </w:tr>
      <w:tr w:rsidR="00AB4497" w:rsidRPr="006A2753" w:rsidTr="005E7DC7">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AB4497" w:rsidP="003C06C2">
            <w:pPr>
              <w:rPr>
                <w:rFonts w:eastAsia="Calibri" w:cs="Times New Roman"/>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AB4497">
            <w:pPr>
              <w:spacing w:line="264" w:lineRule="auto"/>
              <w:rPr>
                <w:rFonts w:eastAsia="Calibri" w:cs="Times New Roman"/>
                <w:szCs w:val="20"/>
                <w:lang w:eastAsia="en-US"/>
              </w:rPr>
            </w:pPr>
          </w:p>
        </w:tc>
      </w:tr>
      <w:tr w:rsidR="00370B02" w:rsidRPr="006A2753" w:rsidTr="005E7DC7">
        <w:tc>
          <w:tcPr>
            <w:tcW w:w="8472" w:type="dxa"/>
            <w:tcBorders>
              <w:top w:val="single" w:sz="4" w:space="0" w:color="auto"/>
              <w:left w:val="single" w:sz="4" w:space="0" w:color="auto"/>
              <w:bottom w:val="single" w:sz="4" w:space="0" w:color="auto"/>
              <w:right w:val="single" w:sz="4" w:space="0" w:color="auto"/>
            </w:tcBorders>
            <w:vAlign w:val="center"/>
          </w:tcPr>
          <w:p w:rsidR="00FE3249" w:rsidRPr="006A2753" w:rsidRDefault="00FE3249" w:rsidP="003C06C2">
            <w:pPr>
              <w:rPr>
                <w:rFonts w:eastAsia="Calibri" w:cs="Times New Roman"/>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01B31" w:rsidRPr="006A2753" w:rsidRDefault="00A01B31">
            <w:pPr>
              <w:spacing w:line="264" w:lineRule="auto"/>
              <w:rPr>
                <w:rFonts w:eastAsia="Calibri" w:cs="Times New Roman"/>
                <w:szCs w:val="20"/>
                <w:lang w:eastAsia="en-US"/>
              </w:rPr>
            </w:pPr>
          </w:p>
        </w:tc>
      </w:tr>
      <w:tr w:rsidR="00AB4497" w:rsidRPr="006A2753" w:rsidTr="005E7DC7">
        <w:tc>
          <w:tcPr>
            <w:tcW w:w="8472" w:type="dxa"/>
            <w:tcBorders>
              <w:top w:val="single" w:sz="4" w:space="0" w:color="auto"/>
              <w:left w:val="nil"/>
              <w:bottom w:val="single" w:sz="4" w:space="0" w:color="auto"/>
              <w:right w:val="single" w:sz="4" w:space="0" w:color="auto"/>
            </w:tcBorders>
            <w:vAlign w:val="center"/>
          </w:tcPr>
          <w:p w:rsidR="00AB4497" w:rsidRPr="006A2753" w:rsidRDefault="00897C6A" w:rsidP="003C06C2">
            <w:pPr>
              <w:spacing w:before="120"/>
              <w:rPr>
                <w:rFonts w:eastAsia="Calibri" w:cs="Times New Roman"/>
                <w:szCs w:val="20"/>
                <w:lang w:eastAsia="en-US"/>
              </w:rPr>
            </w:pPr>
            <w:r w:rsidRPr="006A2753">
              <w:rPr>
                <w:rFonts w:eastAsiaTheme="majorEastAsia" w:cstheme="majorBidi"/>
                <w:b/>
                <w:bCs/>
              </w:rPr>
              <w:t>Exercice n°2</w:t>
            </w:r>
          </w:p>
        </w:tc>
        <w:tc>
          <w:tcPr>
            <w:tcW w:w="1701" w:type="dxa"/>
            <w:tcBorders>
              <w:top w:val="single" w:sz="4" w:space="0" w:color="auto"/>
              <w:left w:val="single" w:sz="4" w:space="0" w:color="auto"/>
              <w:bottom w:val="single" w:sz="4" w:space="0" w:color="auto"/>
              <w:right w:val="single" w:sz="4" w:space="0" w:color="auto"/>
            </w:tcBorders>
          </w:tcPr>
          <w:p w:rsidR="00AB4497" w:rsidRPr="006A2753" w:rsidRDefault="00463D17" w:rsidP="005E7DC7">
            <w:pPr>
              <w:spacing w:after="0" w:line="264" w:lineRule="auto"/>
              <w:rPr>
                <w:rFonts w:eastAsia="Calibri" w:cs="Times New Roman"/>
                <w:szCs w:val="20"/>
                <w:lang w:eastAsia="en-US"/>
              </w:rPr>
            </w:pPr>
            <w:r w:rsidRPr="006A2753">
              <w:rPr>
                <w:rFonts w:eastAsiaTheme="majorEastAsia" w:cstheme="majorBidi"/>
                <w:b/>
                <w:bCs/>
              </w:rPr>
              <w:t>Compétences</w:t>
            </w:r>
          </w:p>
        </w:tc>
      </w:tr>
      <w:tr w:rsidR="005E7DC7" w:rsidRPr="006A2753" w:rsidTr="00754577">
        <w:tc>
          <w:tcPr>
            <w:tcW w:w="8472" w:type="dxa"/>
            <w:tcBorders>
              <w:top w:val="single" w:sz="4" w:space="0" w:color="auto"/>
              <w:left w:val="single" w:sz="4" w:space="0" w:color="auto"/>
              <w:bottom w:val="single" w:sz="4" w:space="0" w:color="auto"/>
              <w:right w:val="single" w:sz="4" w:space="0" w:color="auto"/>
            </w:tcBorders>
            <w:vAlign w:val="center"/>
          </w:tcPr>
          <w:p w:rsidR="005E7DC7" w:rsidRPr="006A2753" w:rsidRDefault="005E7DC7" w:rsidP="00754577">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E7DC7" w:rsidRPr="006A2753" w:rsidRDefault="005E7DC7" w:rsidP="00754577">
            <w:pPr>
              <w:spacing w:line="264" w:lineRule="auto"/>
              <w:jc w:val="left"/>
              <w:rPr>
                <w:rFonts w:eastAsia="Calibri" w:cs="Times New Roman"/>
                <w:szCs w:val="20"/>
                <w:lang w:eastAsia="en-US"/>
              </w:rPr>
            </w:pPr>
          </w:p>
        </w:tc>
      </w:tr>
      <w:tr w:rsidR="005E7DC7" w:rsidRPr="006A2753" w:rsidTr="00754577">
        <w:tc>
          <w:tcPr>
            <w:tcW w:w="8472" w:type="dxa"/>
            <w:tcBorders>
              <w:top w:val="single" w:sz="4" w:space="0" w:color="auto"/>
              <w:left w:val="single" w:sz="4" w:space="0" w:color="auto"/>
              <w:bottom w:val="single" w:sz="4" w:space="0" w:color="auto"/>
              <w:right w:val="single" w:sz="4" w:space="0" w:color="auto"/>
            </w:tcBorders>
            <w:vAlign w:val="center"/>
          </w:tcPr>
          <w:p w:rsidR="005E7DC7" w:rsidRPr="006A2753" w:rsidRDefault="005E7DC7" w:rsidP="00754577">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5E7DC7" w:rsidRPr="006A2753" w:rsidRDefault="005E7DC7" w:rsidP="00754577">
            <w:pPr>
              <w:spacing w:line="264" w:lineRule="auto"/>
              <w:jc w:val="left"/>
              <w:rPr>
                <w:rFonts w:eastAsia="Calibri" w:cs="Times New Roman"/>
                <w:szCs w:val="20"/>
                <w:lang w:eastAsia="en-US"/>
              </w:rPr>
            </w:pPr>
          </w:p>
        </w:tc>
      </w:tr>
      <w:tr w:rsidR="00AB4497" w:rsidRPr="006A2753" w:rsidTr="005E7DC7">
        <w:tc>
          <w:tcPr>
            <w:tcW w:w="8472" w:type="dxa"/>
            <w:tcBorders>
              <w:top w:val="single" w:sz="4" w:space="0" w:color="auto"/>
              <w:left w:val="single" w:sz="4" w:space="0" w:color="auto"/>
              <w:bottom w:val="single" w:sz="4" w:space="0" w:color="auto"/>
              <w:right w:val="single" w:sz="4" w:space="0" w:color="auto"/>
            </w:tcBorders>
            <w:vAlign w:val="center"/>
          </w:tcPr>
          <w:p w:rsidR="00463D17" w:rsidRPr="006A2753" w:rsidRDefault="00463D17" w:rsidP="003C06C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3F51E3" w:rsidRPr="006A2753" w:rsidRDefault="003F51E3" w:rsidP="00D008FD">
            <w:pPr>
              <w:spacing w:line="264" w:lineRule="auto"/>
              <w:jc w:val="left"/>
              <w:rPr>
                <w:rFonts w:eastAsia="Calibri" w:cs="Times New Roman"/>
                <w:szCs w:val="20"/>
                <w:lang w:eastAsia="en-US"/>
              </w:rPr>
            </w:pPr>
          </w:p>
        </w:tc>
      </w:tr>
      <w:tr w:rsidR="00AB4497" w:rsidRPr="006A2753" w:rsidTr="005E7DC7">
        <w:tc>
          <w:tcPr>
            <w:tcW w:w="8472" w:type="dxa"/>
            <w:tcBorders>
              <w:top w:val="single" w:sz="4" w:space="0" w:color="auto"/>
              <w:left w:val="single" w:sz="4" w:space="0" w:color="auto"/>
              <w:bottom w:val="single" w:sz="4" w:space="0" w:color="auto"/>
              <w:right w:val="single" w:sz="4" w:space="0" w:color="auto"/>
            </w:tcBorders>
            <w:vAlign w:val="center"/>
          </w:tcPr>
          <w:p w:rsidR="00AB4497" w:rsidRPr="006A2753" w:rsidRDefault="00AB4497" w:rsidP="003C06C2">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A544A4" w:rsidRPr="006A2753" w:rsidRDefault="00A544A4" w:rsidP="00A544A4">
            <w:pPr>
              <w:spacing w:line="264" w:lineRule="auto"/>
              <w:jc w:val="left"/>
              <w:rPr>
                <w:rFonts w:eastAsia="Calibri" w:cs="Times New Roman"/>
                <w:szCs w:val="20"/>
                <w:lang w:eastAsia="en-US"/>
              </w:rPr>
            </w:pPr>
          </w:p>
        </w:tc>
      </w:tr>
    </w:tbl>
    <w:p w:rsidR="00733430" w:rsidRDefault="00733430" w:rsidP="005C4CF4"/>
    <w:p w:rsidR="003C06C2" w:rsidRPr="006A2753" w:rsidRDefault="003C06C2" w:rsidP="005C4CF4"/>
    <w:p w:rsidR="00B9102C" w:rsidRDefault="00B9102C">
      <w:pPr>
        <w:spacing w:after="0"/>
        <w:jc w:val="left"/>
        <w:rPr>
          <w:b/>
          <w:u w:val="single"/>
        </w:rPr>
      </w:pPr>
      <w:r>
        <w:br w:type="page"/>
      </w:r>
    </w:p>
    <w:p w:rsidR="00370B02" w:rsidRPr="00B9102C" w:rsidRDefault="00370B02" w:rsidP="003C06C2">
      <w:pPr>
        <w:pStyle w:val="Titresoulign"/>
      </w:pPr>
      <w:r w:rsidRPr="00B9102C">
        <w:lastRenderedPageBreak/>
        <w:t>Questions ou solutions partielles permettant d’apporter une aide au candidat au cours de l’entretien</w:t>
      </w:r>
    </w:p>
    <w:p w:rsidR="00FE3249" w:rsidRPr="000C2C10" w:rsidRDefault="00B9102C" w:rsidP="003C06C2">
      <w:pPr>
        <w:spacing w:before="120" w:line="360" w:lineRule="auto"/>
        <w:rPr>
          <w:b/>
        </w:rPr>
      </w:pPr>
      <w:r w:rsidRPr="000C2C10">
        <w:rPr>
          <w:b/>
        </w:rPr>
        <w:t>Exercice 1</w:t>
      </w:r>
    </w:p>
    <w:p w:rsidR="00FE3249" w:rsidRPr="006A2753" w:rsidRDefault="00FE3249" w:rsidP="00FE3249"/>
    <w:p w:rsidR="00FE3249" w:rsidRPr="000C2C10" w:rsidRDefault="00B9102C" w:rsidP="003C06C2">
      <w:pPr>
        <w:spacing w:before="120" w:line="360" w:lineRule="auto"/>
        <w:rPr>
          <w:b/>
        </w:rPr>
      </w:pPr>
      <w:r w:rsidRPr="000C2C10">
        <w:rPr>
          <w:b/>
        </w:rPr>
        <w:t>Exercice 2</w:t>
      </w:r>
    </w:p>
    <w:p w:rsidR="006A6BEB" w:rsidRPr="006A2753" w:rsidRDefault="006A6BEB">
      <w:pPr>
        <w:spacing w:after="0"/>
        <w:jc w:val="left"/>
      </w:pPr>
    </w:p>
    <w:p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rsidTr="00A01B31">
        <w:tc>
          <w:tcPr>
            <w:tcW w:w="1728" w:type="dxa"/>
            <w:vMerge w:val="restart"/>
            <w:vAlign w:val="center"/>
          </w:tcPr>
          <w:p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rsidR="005C4CF4" w:rsidRPr="006A2753" w:rsidRDefault="005C4CF4" w:rsidP="005C4CF4">
            <w:pPr>
              <w:spacing w:after="0"/>
              <w:jc w:val="center"/>
              <w:rPr>
                <w:b/>
                <w:szCs w:val="20"/>
              </w:rPr>
            </w:pPr>
            <w:r w:rsidRPr="006A2753">
              <w:rPr>
                <w:b/>
                <w:szCs w:val="20"/>
              </w:rPr>
              <w:t>Niveau</w:t>
            </w:r>
          </w:p>
        </w:tc>
      </w:tr>
      <w:tr w:rsidR="005C4CF4" w:rsidRPr="006A2753" w:rsidTr="00A01B31">
        <w:trPr>
          <w:trHeight w:val="606"/>
        </w:trPr>
        <w:tc>
          <w:tcPr>
            <w:tcW w:w="1728" w:type="dxa"/>
            <w:vMerge/>
            <w:vAlign w:val="center"/>
          </w:tcPr>
          <w:p w:rsidR="005C4CF4" w:rsidRPr="006A2753" w:rsidRDefault="005C4CF4" w:rsidP="005C4CF4">
            <w:pPr>
              <w:spacing w:after="0"/>
              <w:jc w:val="center"/>
              <w:rPr>
                <w:b/>
                <w:szCs w:val="20"/>
              </w:rPr>
            </w:pPr>
          </w:p>
        </w:tc>
        <w:tc>
          <w:tcPr>
            <w:tcW w:w="6319" w:type="dxa"/>
            <w:vMerge/>
            <w:vAlign w:val="center"/>
          </w:tcPr>
          <w:p w:rsidR="005C4CF4" w:rsidRPr="006A2753" w:rsidRDefault="005C4CF4" w:rsidP="005C4CF4">
            <w:pPr>
              <w:spacing w:after="0"/>
              <w:jc w:val="center"/>
              <w:rPr>
                <w:b/>
                <w:szCs w:val="20"/>
              </w:rPr>
            </w:pPr>
          </w:p>
        </w:tc>
        <w:tc>
          <w:tcPr>
            <w:tcW w:w="460" w:type="dxa"/>
            <w:vAlign w:val="center"/>
          </w:tcPr>
          <w:p w:rsidR="005C4CF4" w:rsidRPr="006A2753" w:rsidRDefault="005C4CF4" w:rsidP="009B77C1">
            <w:pPr>
              <w:spacing w:after="0"/>
              <w:jc w:val="center"/>
              <w:rPr>
                <w:b/>
                <w:szCs w:val="20"/>
              </w:rPr>
            </w:pPr>
            <w:r w:rsidRPr="006A2753">
              <w:rPr>
                <w:b/>
                <w:szCs w:val="20"/>
              </w:rPr>
              <w:t>A</w:t>
            </w:r>
          </w:p>
        </w:tc>
        <w:tc>
          <w:tcPr>
            <w:tcW w:w="461" w:type="dxa"/>
            <w:vAlign w:val="center"/>
          </w:tcPr>
          <w:p w:rsidR="005C4CF4" w:rsidRPr="006A2753" w:rsidRDefault="005C4CF4" w:rsidP="009B77C1">
            <w:pPr>
              <w:spacing w:after="0"/>
              <w:jc w:val="center"/>
              <w:rPr>
                <w:b/>
                <w:szCs w:val="20"/>
              </w:rPr>
            </w:pPr>
            <w:r w:rsidRPr="006A2753">
              <w:rPr>
                <w:b/>
                <w:szCs w:val="20"/>
              </w:rPr>
              <w:t>B</w:t>
            </w:r>
          </w:p>
        </w:tc>
        <w:tc>
          <w:tcPr>
            <w:tcW w:w="460" w:type="dxa"/>
            <w:vAlign w:val="center"/>
          </w:tcPr>
          <w:p w:rsidR="005C4CF4" w:rsidRPr="006A2753" w:rsidRDefault="005C4CF4" w:rsidP="009B77C1">
            <w:pPr>
              <w:spacing w:after="0"/>
              <w:jc w:val="center"/>
              <w:rPr>
                <w:b/>
                <w:szCs w:val="20"/>
              </w:rPr>
            </w:pPr>
            <w:r w:rsidRPr="006A2753">
              <w:rPr>
                <w:b/>
                <w:szCs w:val="20"/>
              </w:rPr>
              <w:t>C</w:t>
            </w:r>
          </w:p>
        </w:tc>
        <w:tc>
          <w:tcPr>
            <w:tcW w:w="461" w:type="dxa"/>
            <w:vAlign w:val="center"/>
          </w:tcPr>
          <w:p w:rsidR="005C4CF4" w:rsidRPr="006A2753" w:rsidRDefault="005C4CF4" w:rsidP="009B77C1">
            <w:pPr>
              <w:spacing w:after="0"/>
              <w:jc w:val="center"/>
              <w:rPr>
                <w:b/>
                <w:szCs w:val="20"/>
              </w:rPr>
            </w:pPr>
            <w:r w:rsidRPr="006A2753">
              <w:rPr>
                <w:b/>
                <w:szCs w:val="20"/>
              </w:rPr>
              <w:t>D</w:t>
            </w:r>
          </w:p>
        </w:tc>
      </w:tr>
      <w:tr w:rsidR="005C4CF4" w:rsidRPr="006A2753" w:rsidTr="00A01B31">
        <w:tc>
          <w:tcPr>
            <w:tcW w:w="1728" w:type="dxa"/>
            <w:vAlign w:val="center"/>
          </w:tcPr>
          <w:p w:rsidR="005C4CF4" w:rsidRPr="006A2753" w:rsidRDefault="009B77C1" w:rsidP="009B77C1">
            <w:pPr>
              <w:spacing w:before="120"/>
              <w:jc w:val="left"/>
              <w:rPr>
                <w:b/>
                <w:szCs w:val="20"/>
              </w:rPr>
            </w:pPr>
            <w:r w:rsidRPr="006A2753">
              <w:rPr>
                <w:b/>
                <w:szCs w:val="20"/>
              </w:rPr>
              <w:t>Restituer des connaissances</w:t>
            </w:r>
          </w:p>
        </w:tc>
        <w:tc>
          <w:tcPr>
            <w:tcW w:w="6319" w:type="dxa"/>
          </w:tcPr>
          <w:p w:rsidR="002D2BC2" w:rsidRPr="006A2753" w:rsidRDefault="002D2BC2" w:rsidP="003C06C2"/>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r w:rsidR="009B77C1" w:rsidRPr="006A2753" w:rsidTr="00A01B31">
        <w:tc>
          <w:tcPr>
            <w:tcW w:w="1728" w:type="dxa"/>
            <w:vAlign w:val="center"/>
          </w:tcPr>
          <w:p w:rsidR="009B77C1" w:rsidRPr="006A2753" w:rsidRDefault="0093399A" w:rsidP="009B77C1">
            <w:pPr>
              <w:spacing w:before="120"/>
              <w:jc w:val="left"/>
              <w:rPr>
                <w:b/>
                <w:szCs w:val="20"/>
              </w:rPr>
            </w:pPr>
            <w:r w:rsidRPr="006A2753">
              <w:rPr>
                <w:b/>
                <w:szCs w:val="20"/>
              </w:rPr>
              <w:t>Analyser</w:t>
            </w:r>
          </w:p>
        </w:tc>
        <w:tc>
          <w:tcPr>
            <w:tcW w:w="6319" w:type="dxa"/>
          </w:tcPr>
          <w:p w:rsidR="002D2BC2" w:rsidRPr="006A2753" w:rsidRDefault="002D2BC2" w:rsidP="003C06C2">
            <w:pPr>
              <w:rPr>
                <w:rFonts w:cs="Arial"/>
              </w:rPr>
            </w:pP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r>
      <w:tr w:rsidR="005C4CF4" w:rsidRPr="006A2753" w:rsidTr="00A01B31">
        <w:tc>
          <w:tcPr>
            <w:tcW w:w="1728" w:type="dxa"/>
            <w:vAlign w:val="center"/>
          </w:tcPr>
          <w:p w:rsidR="005C4CF4" w:rsidRPr="006A2753" w:rsidRDefault="0093399A" w:rsidP="009B77C1">
            <w:pPr>
              <w:spacing w:before="120"/>
              <w:jc w:val="left"/>
              <w:rPr>
                <w:b/>
                <w:szCs w:val="20"/>
              </w:rPr>
            </w:pPr>
            <w:r w:rsidRPr="006A2753">
              <w:rPr>
                <w:b/>
                <w:szCs w:val="20"/>
              </w:rPr>
              <w:t>Réaliser</w:t>
            </w:r>
          </w:p>
        </w:tc>
        <w:tc>
          <w:tcPr>
            <w:tcW w:w="6319" w:type="dxa"/>
          </w:tcPr>
          <w:p w:rsidR="002D2BC2" w:rsidRPr="006A2753" w:rsidRDefault="002D2BC2" w:rsidP="003C06C2">
            <w:pPr>
              <w:rPr>
                <w:rFonts w:cs="Arial"/>
                <w:vertAlign w:val="subscript"/>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bl>
    <w:p w:rsidR="000B16E3" w:rsidRPr="006A2753" w:rsidRDefault="000B16E3" w:rsidP="005C4CF4">
      <w:pPr>
        <w:spacing w:before="120"/>
        <w:rPr>
          <w:szCs w:val="20"/>
        </w:rPr>
      </w:pPr>
    </w:p>
    <w:p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C si la réponse du candidat est restée partielle, malgré les questionnements de l’examinateur et l’apport de solutions partielles</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t>D si le candidat n’a pas su répondre malgré les questionnements de l’examinateur et l’apport de solutions partielles.</w:t>
      </w:r>
    </w:p>
    <w:p w:rsidR="003C06C2" w:rsidRPr="006A2753" w:rsidRDefault="003C06C2" w:rsidP="003C06C2"/>
    <w:p w:rsidR="009F453D" w:rsidRDefault="009F453D">
      <w:pPr>
        <w:spacing w:after="0"/>
        <w:jc w:val="left"/>
        <w:rPr>
          <w:b/>
          <w:u w:val="single"/>
        </w:rPr>
      </w:pPr>
      <w:r>
        <w:br w:type="page"/>
      </w:r>
    </w:p>
    <w:p w:rsidR="00366E09" w:rsidRPr="003C06C2" w:rsidRDefault="005C4CF4" w:rsidP="003C06C2">
      <w:pPr>
        <w:pStyle w:val="Titresoulign"/>
      </w:pPr>
      <w:r w:rsidRPr="003C06C2">
        <w:lastRenderedPageBreak/>
        <w:t>Grille de notation</w:t>
      </w:r>
    </w:p>
    <w:p w:rsidR="009B77C1" w:rsidRPr="006A2753" w:rsidRDefault="009B77C1" w:rsidP="009B77C1">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9B77C1" w:rsidRPr="006A2753" w:rsidRDefault="009B77C1" w:rsidP="009B77C1">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w:t>
      </w:r>
      <w:r w:rsidR="000B16E3" w:rsidRPr="006A2753">
        <w:t xml:space="preserve"> Les critères d’évaluation retenus sont :</w:t>
      </w:r>
    </w:p>
    <w:p w:rsidR="000B16E3" w:rsidRPr="006A2753" w:rsidRDefault="000B16E3" w:rsidP="000B16E3">
      <w:pPr>
        <w:pStyle w:val="Paragraphedeliste"/>
        <w:numPr>
          <w:ilvl w:val="0"/>
          <w:numId w:val="5"/>
        </w:numPr>
      </w:pPr>
      <w:r w:rsidRPr="006A2753">
        <w:t>La capacité du candidat à s’exprimer en utilisant une syntaxe claire</w:t>
      </w:r>
    </w:p>
    <w:p w:rsidR="000B16E3" w:rsidRPr="006A2753" w:rsidRDefault="000B16E3" w:rsidP="000B16E3">
      <w:pPr>
        <w:pStyle w:val="Paragraphedeliste"/>
        <w:numPr>
          <w:ilvl w:val="0"/>
          <w:numId w:val="5"/>
        </w:numPr>
      </w:pPr>
      <w:r w:rsidRPr="006A2753">
        <w:t>La capacité du candidat à employer un vocabulaire scientifique adapté</w:t>
      </w:r>
    </w:p>
    <w:p w:rsidR="000B16E3" w:rsidRPr="006A2753" w:rsidRDefault="000B16E3" w:rsidP="000B16E3">
      <w:pPr>
        <w:pStyle w:val="Paragraphedeliste"/>
        <w:numPr>
          <w:ilvl w:val="0"/>
          <w:numId w:val="5"/>
        </w:numPr>
      </w:pPr>
      <w:r w:rsidRPr="006A2753">
        <w:t>La capacité du candidat à organiser son raisonnement et à présenter ses arguments.</w:t>
      </w:r>
    </w:p>
    <w:p w:rsidR="000F7ACF" w:rsidRDefault="000F7ACF" w:rsidP="000F7ACF">
      <w:pPr>
        <w:rPr>
          <w:szCs w:val="20"/>
        </w:rPr>
      </w:pPr>
      <w:bookmarkStart w:id="1" w:name="_MON_1509176941"/>
      <w:bookmarkStart w:id="2" w:name="_GoBack"/>
      <w:bookmarkEnd w:id="1"/>
      <w:bookmarkEnd w:id="2"/>
    </w:p>
    <w:p w:rsidR="000F7ACF" w:rsidRPr="009F453D" w:rsidRDefault="000F7ACF" w:rsidP="000F7ACF">
      <w:pPr>
        <w:jc w:val="left"/>
        <w:rPr>
          <w:szCs w:val="20"/>
          <w:highlight w:val="yellow"/>
        </w:rPr>
      </w:pPr>
      <w:r w:rsidRPr="009F453D">
        <w:rPr>
          <w:noProof/>
          <w:highlight w:val="yellow"/>
        </w:rPr>
        <w:drawing>
          <wp:anchor distT="0" distB="0" distL="114300" distR="114300" simplePos="0" relativeHeight="251659264" behindDoc="1" locked="0" layoutInCell="1" allowOverlap="1" wp14:anchorId="29251722" wp14:editId="0EF54481">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0F7ACF" w:rsidRPr="009F453D" w:rsidRDefault="000F7ACF" w:rsidP="000F7ACF">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0F7ACF" w:rsidRDefault="000F7ACF" w:rsidP="000F7ACF">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0F7ACF" w:rsidRPr="009F453D" w:rsidRDefault="000F7ACF" w:rsidP="000F7ACF">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0F7ACF" w:rsidRDefault="000F7ACF" w:rsidP="000F7ACF">
      <w:pPr>
        <w:jc w:val="left"/>
        <w:rPr>
          <w:szCs w:val="20"/>
        </w:rPr>
      </w:pPr>
      <w:r w:rsidRPr="009F453D">
        <w:rPr>
          <w:szCs w:val="20"/>
          <w:highlight w:val="yellow"/>
        </w:rPr>
        <w:t>Le tableau sera mis à jour automatiquement.</w:t>
      </w:r>
      <w:r>
        <w:rPr>
          <w:szCs w:val="20"/>
        </w:rPr>
        <w:t xml:space="preserve"> </w:t>
      </w:r>
    </w:p>
    <w:p w:rsidR="000F7ACF" w:rsidRDefault="000F7ACF" w:rsidP="000F7ACF">
      <w:pPr>
        <w:rPr>
          <w:szCs w:val="20"/>
        </w:rPr>
      </w:pPr>
    </w:p>
    <w:p w:rsidR="000F7ACF" w:rsidRDefault="000F7ACF" w:rsidP="000F7ACF">
      <w:pPr>
        <w:rPr>
          <w:szCs w:val="20"/>
        </w:rPr>
      </w:pPr>
    </w:p>
    <w:bookmarkStart w:id="3" w:name="_MON_1509176941"/>
    <w:bookmarkEnd w:id="3"/>
    <w:p w:rsidR="00CB406A" w:rsidRDefault="005250B4" w:rsidP="00CB406A">
      <w:pPr>
        <w:rPr>
          <w:szCs w:val="20"/>
        </w:rPr>
      </w:pPr>
      <w:r w:rsidRPr="006A2753">
        <w:rPr>
          <w:szCs w:val="20"/>
        </w:rPr>
        <w:object w:dxaOrig="12136" w:dyaOrig="8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71.45pt;height:328.7pt" o:ole="">
            <v:imagedata r:id="rId9" o:title=""/>
          </v:shape>
          <o:OLEObject Type="Embed" ProgID="Excel.Sheet.12" ShapeID="_x0000_i1030" DrawAspect="Content" ObjectID="_1529480845" r:id="rId10"/>
        </w:object>
      </w:r>
    </w:p>
    <w:p w:rsidR="009F453D" w:rsidRDefault="009F453D" w:rsidP="00CB406A">
      <w:pPr>
        <w:rPr>
          <w:szCs w:val="20"/>
        </w:rPr>
      </w:pPr>
    </w:p>
    <w:p w:rsidR="009F453D" w:rsidRDefault="009F453D" w:rsidP="00CB406A">
      <w:pPr>
        <w:rPr>
          <w:szCs w:val="20"/>
        </w:rPr>
      </w:pPr>
    </w:p>
    <w:p w:rsidR="00947F6A" w:rsidRPr="007C49FF" w:rsidRDefault="00947F6A" w:rsidP="00947F6A">
      <w:pPr>
        <w:rPr>
          <w:b/>
          <w:szCs w:val="20"/>
        </w:rPr>
      </w:pPr>
      <w:r w:rsidRPr="007C49FF">
        <w:rPr>
          <w:b/>
          <w:szCs w:val="20"/>
        </w:rPr>
        <w:t xml:space="preserve">Compétence </w:t>
      </w:r>
      <w:r w:rsidRPr="007C49FF">
        <w:rPr>
          <w:b/>
          <w:i/>
          <w:szCs w:val="20"/>
        </w:rPr>
        <w:t xml:space="preserve">communiquer </w:t>
      </w:r>
      <w:r w:rsidRPr="007C49FF">
        <w:rPr>
          <w:b/>
          <w:szCs w:val="20"/>
        </w:rPr>
        <w:t>:  _</w:t>
      </w:r>
      <w:r>
        <w:rPr>
          <w:b/>
          <w:szCs w:val="20"/>
        </w:rPr>
        <w:t>_</w:t>
      </w:r>
      <w:r w:rsidRPr="007C49FF">
        <w:rPr>
          <w:b/>
          <w:szCs w:val="20"/>
        </w:rPr>
        <w:t>__ / 3</w:t>
      </w:r>
    </w:p>
    <w:p w:rsidR="00947F6A" w:rsidRDefault="00947F6A" w:rsidP="00947F6A">
      <w:pPr>
        <w:rPr>
          <w:szCs w:val="20"/>
        </w:rPr>
      </w:pPr>
    </w:p>
    <w:p w:rsidR="00947F6A" w:rsidRPr="007C49FF" w:rsidRDefault="00947F6A" w:rsidP="00947F6A">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p w:rsidR="009B77C1" w:rsidRDefault="009B77C1" w:rsidP="003C191D">
      <w:pPr>
        <w:rPr>
          <w:szCs w:val="20"/>
        </w:rPr>
      </w:pPr>
    </w:p>
    <w:sectPr w:rsidR="009B77C1" w:rsidSect="00981046">
      <w:headerReference w:type="default" r:id="rId11"/>
      <w:footerReference w:type="default" r:id="rId12"/>
      <w:pgSz w:w="11900" w:h="16840" w:code="9"/>
      <w:pgMar w:top="130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70" w:rsidRDefault="00862070">
      <w:r>
        <w:separator/>
      </w:r>
    </w:p>
  </w:endnote>
  <w:endnote w:type="continuationSeparator" w:id="0">
    <w:p w:rsidR="00862070" w:rsidRDefault="00862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F00354" w:rsidRDefault="00050459" w:rsidP="00050459">
            <w:pPr>
              <w:pStyle w:val="Pieddepage"/>
              <w:spacing w:after="0"/>
              <w:jc w:val="left"/>
            </w:pPr>
            <w:r>
              <w:t xml:space="preserve">Sujet </w:t>
            </w:r>
            <w:r w:rsidR="00733430">
              <w:t>n°</w:t>
            </w:r>
            <w:r w:rsidR="00E95CDC">
              <w:t>xxx</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5250B4">
              <w:rPr>
                <w:b/>
                <w:bCs/>
                <w:noProof/>
              </w:rPr>
              <w:t>3</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5250B4">
              <w:rPr>
                <w:b/>
                <w:bCs/>
                <w:noProof/>
              </w:rPr>
              <w:t>5</w:t>
            </w:r>
            <w:r w:rsidR="00E00684">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70" w:rsidRDefault="00862070">
      <w:r>
        <w:separator/>
      </w:r>
    </w:p>
  </w:footnote>
  <w:footnote w:type="continuationSeparator" w:id="0">
    <w:p w:rsidR="00862070" w:rsidRDefault="00862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59" w:rsidRPr="00050459" w:rsidRDefault="0063261F" w:rsidP="00050459">
    <w:pPr>
      <w:rPr>
        <w:b/>
        <w:color w:val="A6A6A6" w:themeColor="background1" w:themeShade="A6"/>
      </w:rPr>
    </w:pPr>
    <w:r w:rsidRPr="0063261F">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009F453D">
      <w:rPr>
        <w:b/>
        <w:noProof/>
        <w:color w:val="A6A6A6" w:themeColor="background1" w:themeShade="A6"/>
      </w:rPr>
      <w:t xml:space="preserve"> </w:t>
    </w:r>
    <w:r w:rsidRPr="00050459">
      <w:rPr>
        <w:b/>
        <w:color w:val="A6A6A6" w:themeColor="background1" w:themeShade="A6"/>
      </w:rPr>
      <w:t>ÉPREUVE ORALE</w:t>
    </w:r>
    <w:r>
      <w:rPr>
        <w:b/>
        <w:color w:val="A6A6A6" w:themeColor="background1" w:themeShade="A6"/>
      </w:rPr>
      <w:t xml:space="preserve"> </w:t>
    </w:r>
    <w:r w:rsidR="000A198B">
      <w:rPr>
        <w:b/>
        <w:color w:val="A6A6A6" w:themeColor="background1" w:themeShade="A6"/>
      </w:rPr>
      <w:t>DE CONTRÔLE</w:t>
    </w:r>
    <w:r w:rsidR="00050459" w:rsidRPr="00050459">
      <w:rPr>
        <w:b/>
        <w:color w:val="A6A6A6" w:themeColor="background1" w:themeShade="A6"/>
      </w:rPr>
      <w:t xml:space="preserve"> DE PHYSIQUE-CHIMIE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1" w15:restartNumberingAfterBreak="0">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4"/>
  </w:num>
  <w:num w:numId="6">
    <w:abstractNumId w:val="11"/>
  </w:num>
  <w:num w:numId="7">
    <w:abstractNumId w:val="10"/>
  </w:num>
  <w:num w:numId="8">
    <w:abstractNumId w:val="5"/>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70"/>
    <w:rsid w:val="00000AAC"/>
    <w:rsid w:val="00006D0F"/>
    <w:rsid w:val="0002351D"/>
    <w:rsid w:val="000264FC"/>
    <w:rsid w:val="00027E5A"/>
    <w:rsid w:val="00030B17"/>
    <w:rsid w:val="0003151B"/>
    <w:rsid w:val="000370A2"/>
    <w:rsid w:val="00050459"/>
    <w:rsid w:val="00050CCF"/>
    <w:rsid w:val="000515AD"/>
    <w:rsid w:val="00067346"/>
    <w:rsid w:val="00082822"/>
    <w:rsid w:val="00090C74"/>
    <w:rsid w:val="00092DF8"/>
    <w:rsid w:val="00094C88"/>
    <w:rsid w:val="00097D1A"/>
    <w:rsid w:val="000A198B"/>
    <w:rsid w:val="000A44CA"/>
    <w:rsid w:val="000B16E3"/>
    <w:rsid w:val="000B27D9"/>
    <w:rsid w:val="000C2C10"/>
    <w:rsid w:val="000C76F2"/>
    <w:rsid w:val="000D0030"/>
    <w:rsid w:val="000D0DFE"/>
    <w:rsid w:val="000E2F2E"/>
    <w:rsid w:val="000E3F61"/>
    <w:rsid w:val="000F2917"/>
    <w:rsid w:val="000F7ACF"/>
    <w:rsid w:val="00101F2B"/>
    <w:rsid w:val="00107CF9"/>
    <w:rsid w:val="00110A50"/>
    <w:rsid w:val="00114D75"/>
    <w:rsid w:val="00117F0A"/>
    <w:rsid w:val="001279D4"/>
    <w:rsid w:val="00130E5F"/>
    <w:rsid w:val="001360B7"/>
    <w:rsid w:val="00142F8F"/>
    <w:rsid w:val="001517EF"/>
    <w:rsid w:val="00156B0F"/>
    <w:rsid w:val="00160F46"/>
    <w:rsid w:val="00163E6E"/>
    <w:rsid w:val="00166B68"/>
    <w:rsid w:val="00166D51"/>
    <w:rsid w:val="00183E34"/>
    <w:rsid w:val="001B052E"/>
    <w:rsid w:val="001B5003"/>
    <w:rsid w:val="001D38BB"/>
    <w:rsid w:val="001E2F0A"/>
    <w:rsid w:val="001E5673"/>
    <w:rsid w:val="001E6CC7"/>
    <w:rsid w:val="001F38A3"/>
    <w:rsid w:val="001F611B"/>
    <w:rsid w:val="00221521"/>
    <w:rsid w:val="00221C9D"/>
    <w:rsid w:val="002332BC"/>
    <w:rsid w:val="00235340"/>
    <w:rsid w:val="0024102A"/>
    <w:rsid w:val="002428DD"/>
    <w:rsid w:val="002507D8"/>
    <w:rsid w:val="00250838"/>
    <w:rsid w:val="002569E1"/>
    <w:rsid w:val="00283999"/>
    <w:rsid w:val="002A0E0E"/>
    <w:rsid w:val="002A4F48"/>
    <w:rsid w:val="002A6729"/>
    <w:rsid w:val="002B6F71"/>
    <w:rsid w:val="002C0A70"/>
    <w:rsid w:val="002D2BC2"/>
    <w:rsid w:val="002E0AB1"/>
    <w:rsid w:val="002F23D1"/>
    <w:rsid w:val="00301CE6"/>
    <w:rsid w:val="00312F6B"/>
    <w:rsid w:val="00321012"/>
    <w:rsid w:val="00322165"/>
    <w:rsid w:val="00331249"/>
    <w:rsid w:val="003315D5"/>
    <w:rsid w:val="003337DD"/>
    <w:rsid w:val="003357DF"/>
    <w:rsid w:val="00343549"/>
    <w:rsid w:val="003475F5"/>
    <w:rsid w:val="003501A2"/>
    <w:rsid w:val="00357D52"/>
    <w:rsid w:val="00366E09"/>
    <w:rsid w:val="00370B02"/>
    <w:rsid w:val="003718F5"/>
    <w:rsid w:val="003A0F5F"/>
    <w:rsid w:val="003A4E3B"/>
    <w:rsid w:val="003B44B5"/>
    <w:rsid w:val="003C06C2"/>
    <w:rsid w:val="003C191D"/>
    <w:rsid w:val="003C7B62"/>
    <w:rsid w:val="003D6BD4"/>
    <w:rsid w:val="003E0817"/>
    <w:rsid w:val="003F480D"/>
    <w:rsid w:val="003F51E3"/>
    <w:rsid w:val="003F789D"/>
    <w:rsid w:val="00400BC9"/>
    <w:rsid w:val="004148AF"/>
    <w:rsid w:val="00414E0F"/>
    <w:rsid w:val="00431BDC"/>
    <w:rsid w:val="0043233D"/>
    <w:rsid w:val="0044107B"/>
    <w:rsid w:val="00452493"/>
    <w:rsid w:val="00463D17"/>
    <w:rsid w:val="004773ED"/>
    <w:rsid w:val="0047780A"/>
    <w:rsid w:val="0048509F"/>
    <w:rsid w:val="00486F26"/>
    <w:rsid w:val="00491F93"/>
    <w:rsid w:val="00496997"/>
    <w:rsid w:val="004A3FC4"/>
    <w:rsid w:val="004B5639"/>
    <w:rsid w:val="004C52ED"/>
    <w:rsid w:val="004D6544"/>
    <w:rsid w:val="004E72FE"/>
    <w:rsid w:val="004F1A0A"/>
    <w:rsid w:val="004F5E93"/>
    <w:rsid w:val="00504311"/>
    <w:rsid w:val="00504BB0"/>
    <w:rsid w:val="00506218"/>
    <w:rsid w:val="00515E8A"/>
    <w:rsid w:val="00524E6A"/>
    <w:rsid w:val="005250B4"/>
    <w:rsid w:val="005408B6"/>
    <w:rsid w:val="00542320"/>
    <w:rsid w:val="00546D09"/>
    <w:rsid w:val="00552C03"/>
    <w:rsid w:val="00555532"/>
    <w:rsid w:val="005669FF"/>
    <w:rsid w:val="005725E5"/>
    <w:rsid w:val="00574B25"/>
    <w:rsid w:val="005A506C"/>
    <w:rsid w:val="005A5EBB"/>
    <w:rsid w:val="005A7021"/>
    <w:rsid w:val="005C4CF4"/>
    <w:rsid w:val="005C6567"/>
    <w:rsid w:val="005D700F"/>
    <w:rsid w:val="005D783C"/>
    <w:rsid w:val="005E329E"/>
    <w:rsid w:val="005E60DE"/>
    <w:rsid w:val="005E7DC7"/>
    <w:rsid w:val="005F4835"/>
    <w:rsid w:val="006002D6"/>
    <w:rsid w:val="00614573"/>
    <w:rsid w:val="00624DCE"/>
    <w:rsid w:val="0063261F"/>
    <w:rsid w:val="0063596A"/>
    <w:rsid w:val="00642714"/>
    <w:rsid w:val="00645494"/>
    <w:rsid w:val="006577BE"/>
    <w:rsid w:val="006A2753"/>
    <w:rsid w:val="006A6BEB"/>
    <w:rsid w:val="006C2E1E"/>
    <w:rsid w:val="006D0C57"/>
    <w:rsid w:val="006D422B"/>
    <w:rsid w:val="006E0772"/>
    <w:rsid w:val="006E0DEF"/>
    <w:rsid w:val="006E5AC0"/>
    <w:rsid w:val="006F5430"/>
    <w:rsid w:val="007132CC"/>
    <w:rsid w:val="007158E6"/>
    <w:rsid w:val="007170FC"/>
    <w:rsid w:val="007333B7"/>
    <w:rsid w:val="00733430"/>
    <w:rsid w:val="0073367F"/>
    <w:rsid w:val="00782CC0"/>
    <w:rsid w:val="00783425"/>
    <w:rsid w:val="00792542"/>
    <w:rsid w:val="007B178E"/>
    <w:rsid w:val="007B3DCC"/>
    <w:rsid w:val="007C093E"/>
    <w:rsid w:val="007C46AF"/>
    <w:rsid w:val="007D3E22"/>
    <w:rsid w:val="007D6D5F"/>
    <w:rsid w:val="007F2AAB"/>
    <w:rsid w:val="007F78BA"/>
    <w:rsid w:val="00805485"/>
    <w:rsid w:val="0081140B"/>
    <w:rsid w:val="00811EA0"/>
    <w:rsid w:val="0081244F"/>
    <w:rsid w:val="00812862"/>
    <w:rsid w:val="0081499F"/>
    <w:rsid w:val="00820D84"/>
    <w:rsid w:val="00830BDE"/>
    <w:rsid w:val="00836994"/>
    <w:rsid w:val="00836A7D"/>
    <w:rsid w:val="0085476F"/>
    <w:rsid w:val="008579F6"/>
    <w:rsid w:val="00862070"/>
    <w:rsid w:val="0086243C"/>
    <w:rsid w:val="008674A6"/>
    <w:rsid w:val="00877F10"/>
    <w:rsid w:val="00887D5A"/>
    <w:rsid w:val="00897C6A"/>
    <w:rsid w:val="008A0F94"/>
    <w:rsid w:val="008A671B"/>
    <w:rsid w:val="008B377A"/>
    <w:rsid w:val="008B52BD"/>
    <w:rsid w:val="008C1466"/>
    <w:rsid w:val="008C1984"/>
    <w:rsid w:val="008C3C96"/>
    <w:rsid w:val="008C44E2"/>
    <w:rsid w:val="008D0130"/>
    <w:rsid w:val="008E0D8F"/>
    <w:rsid w:val="008E1DB0"/>
    <w:rsid w:val="008E5894"/>
    <w:rsid w:val="00902970"/>
    <w:rsid w:val="0090656F"/>
    <w:rsid w:val="00910FEA"/>
    <w:rsid w:val="00921782"/>
    <w:rsid w:val="009308AA"/>
    <w:rsid w:val="00932A1B"/>
    <w:rsid w:val="0093399A"/>
    <w:rsid w:val="00942C9C"/>
    <w:rsid w:val="00947F6A"/>
    <w:rsid w:val="00956903"/>
    <w:rsid w:val="0096203F"/>
    <w:rsid w:val="00972803"/>
    <w:rsid w:val="00981046"/>
    <w:rsid w:val="00983044"/>
    <w:rsid w:val="009945A0"/>
    <w:rsid w:val="009A2588"/>
    <w:rsid w:val="009B50FD"/>
    <w:rsid w:val="009B77C1"/>
    <w:rsid w:val="009C0E5A"/>
    <w:rsid w:val="009C27B2"/>
    <w:rsid w:val="009C2A12"/>
    <w:rsid w:val="009E3744"/>
    <w:rsid w:val="009E4132"/>
    <w:rsid w:val="009F424C"/>
    <w:rsid w:val="009F453D"/>
    <w:rsid w:val="009F6AB3"/>
    <w:rsid w:val="00A00581"/>
    <w:rsid w:val="00A01810"/>
    <w:rsid w:val="00A01B31"/>
    <w:rsid w:val="00A320D1"/>
    <w:rsid w:val="00A544A4"/>
    <w:rsid w:val="00A74C73"/>
    <w:rsid w:val="00A829BA"/>
    <w:rsid w:val="00A85539"/>
    <w:rsid w:val="00A8690D"/>
    <w:rsid w:val="00A90624"/>
    <w:rsid w:val="00A93BA4"/>
    <w:rsid w:val="00A96C11"/>
    <w:rsid w:val="00A971B8"/>
    <w:rsid w:val="00AB0F4A"/>
    <w:rsid w:val="00AB4497"/>
    <w:rsid w:val="00AB78E5"/>
    <w:rsid w:val="00AC07DC"/>
    <w:rsid w:val="00AC6D9C"/>
    <w:rsid w:val="00AE7DCF"/>
    <w:rsid w:val="00AF22DF"/>
    <w:rsid w:val="00AF5E93"/>
    <w:rsid w:val="00B03CAB"/>
    <w:rsid w:val="00B043CC"/>
    <w:rsid w:val="00B07E1A"/>
    <w:rsid w:val="00B23DB6"/>
    <w:rsid w:val="00B27B4D"/>
    <w:rsid w:val="00B47CA7"/>
    <w:rsid w:val="00B55365"/>
    <w:rsid w:val="00B63930"/>
    <w:rsid w:val="00B70099"/>
    <w:rsid w:val="00B756DB"/>
    <w:rsid w:val="00B9102C"/>
    <w:rsid w:val="00BA720F"/>
    <w:rsid w:val="00BB12B8"/>
    <w:rsid w:val="00BB4388"/>
    <w:rsid w:val="00BB520B"/>
    <w:rsid w:val="00BC2FDA"/>
    <w:rsid w:val="00BC314A"/>
    <w:rsid w:val="00BC7702"/>
    <w:rsid w:val="00BD46E5"/>
    <w:rsid w:val="00BF5CB5"/>
    <w:rsid w:val="00BF760D"/>
    <w:rsid w:val="00C04629"/>
    <w:rsid w:val="00C13746"/>
    <w:rsid w:val="00C2093C"/>
    <w:rsid w:val="00C246A2"/>
    <w:rsid w:val="00C36CB0"/>
    <w:rsid w:val="00C4108F"/>
    <w:rsid w:val="00C47225"/>
    <w:rsid w:val="00C505FE"/>
    <w:rsid w:val="00C651B6"/>
    <w:rsid w:val="00C730AF"/>
    <w:rsid w:val="00C87EDD"/>
    <w:rsid w:val="00C91FAC"/>
    <w:rsid w:val="00CB000B"/>
    <w:rsid w:val="00CB406A"/>
    <w:rsid w:val="00CC7CCC"/>
    <w:rsid w:val="00D008FD"/>
    <w:rsid w:val="00D03AE9"/>
    <w:rsid w:val="00D15116"/>
    <w:rsid w:val="00D211A1"/>
    <w:rsid w:val="00D37747"/>
    <w:rsid w:val="00D42E52"/>
    <w:rsid w:val="00D55CD2"/>
    <w:rsid w:val="00D56C73"/>
    <w:rsid w:val="00D604DA"/>
    <w:rsid w:val="00D610A5"/>
    <w:rsid w:val="00D74185"/>
    <w:rsid w:val="00D85B4E"/>
    <w:rsid w:val="00D90B52"/>
    <w:rsid w:val="00D90FC6"/>
    <w:rsid w:val="00D9223E"/>
    <w:rsid w:val="00DA0A4E"/>
    <w:rsid w:val="00DA57B7"/>
    <w:rsid w:val="00DC3014"/>
    <w:rsid w:val="00DD3E3C"/>
    <w:rsid w:val="00DF08D2"/>
    <w:rsid w:val="00DF2976"/>
    <w:rsid w:val="00E00684"/>
    <w:rsid w:val="00E11020"/>
    <w:rsid w:val="00E55483"/>
    <w:rsid w:val="00E60081"/>
    <w:rsid w:val="00E60A08"/>
    <w:rsid w:val="00E635BE"/>
    <w:rsid w:val="00E70312"/>
    <w:rsid w:val="00E73F4B"/>
    <w:rsid w:val="00E811AA"/>
    <w:rsid w:val="00E95CDC"/>
    <w:rsid w:val="00E96941"/>
    <w:rsid w:val="00EA33A6"/>
    <w:rsid w:val="00ED40C2"/>
    <w:rsid w:val="00EE2DC4"/>
    <w:rsid w:val="00EE3FE6"/>
    <w:rsid w:val="00EF06F3"/>
    <w:rsid w:val="00EF4988"/>
    <w:rsid w:val="00F00354"/>
    <w:rsid w:val="00F07F5F"/>
    <w:rsid w:val="00F116DD"/>
    <w:rsid w:val="00F2433A"/>
    <w:rsid w:val="00F55AEE"/>
    <w:rsid w:val="00F57A6D"/>
    <w:rsid w:val="00F63CBD"/>
    <w:rsid w:val="00F6694F"/>
    <w:rsid w:val="00F675D7"/>
    <w:rsid w:val="00F67A61"/>
    <w:rsid w:val="00FA029D"/>
    <w:rsid w:val="00FA3FFB"/>
    <w:rsid w:val="00FA60C3"/>
    <w:rsid w:val="00FB1031"/>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081327-E752-438F-8D97-83CE5364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BD78-F53A-4A11-B143-73C45461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5098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3</cp:revision>
  <cp:lastPrinted>2015-11-23T21:05:00Z</cp:lastPrinted>
  <dcterms:created xsi:type="dcterms:W3CDTF">2016-07-08T09:00:00Z</dcterms:created>
  <dcterms:modified xsi:type="dcterms:W3CDTF">2016-07-08T09:01:00Z</dcterms:modified>
</cp:coreProperties>
</file>