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B4" w:rsidRDefault="00FB1A8D" w:rsidP="002A0E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36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Synthèse de l'un d</w:t>
      </w:r>
      <w:r w:rsidR="002A0ED1">
        <w:rPr>
          <w:b/>
          <w:sz w:val="48"/>
          <w:szCs w:val="48"/>
        </w:rPr>
        <w:t>es constituants</w:t>
      </w:r>
    </w:p>
    <w:p w:rsidR="002A0ED1" w:rsidRPr="00C444E1" w:rsidRDefault="002A0ED1" w:rsidP="002A0E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360"/>
        <w:jc w:val="center"/>
        <w:outlineLvl w:val="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de</w:t>
      </w:r>
      <w:proofErr w:type="gramEnd"/>
      <w:r>
        <w:rPr>
          <w:b/>
          <w:sz w:val="48"/>
          <w:szCs w:val="48"/>
        </w:rPr>
        <w:t xml:space="preserve"> l'huile essentielle de lavande</w:t>
      </w:r>
    </w:p>
    <w:p w:rsidR="007074ED" w:rsidRPr="00FB1A8D" w:rsidRDefault="007074ED" w:rsidP="002A0ED1">
      <w:pPr>
        <w:pStyle w:val="Titre2"/>
        <w:rPr>
          <w:color w:val="2E74B5"/>
        </w:rPr>
      </w:pPr>
      <w:r w:rsidRPr="00FB1A8D">
        <w:rPr>
          <w:color w:val="2E74B5"/>
        </w:rPr>
        <w:t>Dans le cadre actu</w:t>
      </w:r>
      <w:bookmarkStart w:id="0" w:name="_GoBack"/>
      <w:bookmarkEnd w:id="0"/>
      <w:r w:rsidRPr="00FB1A8D">
        <w:rPr>
          <w:color w:val="2E74B5"/>
        </w:rPr>
        <w:t>el des mesures de confinement :</w:t>
      </w:r>
    </w:p>
    <w:p w:rsidR="007074ED" w:rsidRPr="00FB1A8D" w:rsidRDefault="007074ED" w:rsidP="007074ED">
      <w:pPr>
        <w:rPr>
          <w:sz w:val="23"/>
          <w:szCs w:val="23"/>
        </w:rPr>
      </w:pPr>
      <w:r w:rsidRPr="00FB1A8D">
        <w:rPr>
          <w:sz w:val="23"/>
          <w:szCs w:val="23"/>
        </w:rPr>
        <w:t xml:space="preserve">Vous pouvez visionner cette vidéo pour des conseils autour de quelques </w:t>
      </w:r>
      <w:r w:rsidR="006352FD" w:rsidRPr="00FB1A8D">
        <w:rPr>
          <w:sz w:val="23"/>
          <w:szCs w:val="23"/>
        </w:rPr>
        <w:t>« </w:t>
      </w:r>
      <w:r w:rsidRPr="00FB1A8D">
        <w:rPr>
          <w:sz w:val="23"/>
          <w:szCs w:val="23"/>
        </w:rPr>
        <w:t>mesure</w:t>
      </w:r>
      <w:r w:rsidR="006352FD" w:rsidRPr="00FB1A8D">
        <w:rPr>
          <w:sz w:val="23"/>
          <w:szCs w:val="23"/>
        </w:rPr>
        <w:t>s</w:t>
      </w:r>
      <w:r w:rsidRPr="00FB1A8D">
        <w:rPr>
          <w:sz w:val="23"/>
          <w:szCs w:val="23"/>
        </w:rPr>
        <w:t xml:space="preserve"> barrière » :</w:t>
      </w:r>
    </w:p>
    <w:p w:rsidR="006352FD" w:rsidRPr="00FB1A8D" w:rsidRDefault="00C0703C" w:rsidP="007074ED">
      <w:pPr>
        <w:rPr>
          <w:sz w:val="20"/>
        </w:rPr>
      </w:pPr>
      <w:hyperlink r:id="rId8" w:history="1">
        <w:r w:rsidR="006352FD" w:rsidRPr="00FB1A8D">
          <w:rPr>
            <w:rStyle w:val="Lienhypertexte"/>
            <w:sz w:val="20"/>
          </w:rPr>
          <w:t>https://www.youtube.com/watch?v=KSa3qAl5-M4</w:t>
        </w:r>
      </w:hyperlink>
    </w:p>
    <w:p w:rsidR="00681B02" w:rsidRPr="00FB1A8D" w:rsidRDefault="007D23A8" w:rsidP="002A0ED1">
      <w:pPr>
        <w:pStyle w:val="Titre2"/>
        <w:rPr>
          <w:color w:val="2E74B5"/>
        </w:rPr>
      </w:pPr>
      <w:r w:rsidRPr="00FB1A8D">
        <w:rPr>
          <w:color w:val="2E74B5"/>
        </w:rPr>
        <w:t>Introduction / objectif(s</w:t>
      </w:r>
      <w:proofErr w:type="gramStart"/>
      <w:r w:rsidRPr="00FB1A8D">
        <w:rPr>
          <w:color w:val="2E74B5"/>
        </w:rPr>
        <w:t>)</w:t>
      </w:r>
      <w:r w:rsidR="00681B02" w:rsidRPr="00FB1A8D">
        <w:rPr>
          <w:color w:val="2E74B5"/>
        </w:rPr>
        <w:t> </w:t>
      </w:r>
      <w:r w:rsidR="00AB5617" w:rsidRPr="00FB1A8D">
        <w:rPr>
          <w:color w:val="2E74B5"/>
        </w:rPr>
        <w:t>.</w:t>
      </w:r>
      <w:proofErr w:type="gramEnd"/>
    </w:p>
    <w:p w:rsidR="002A0ED1" w:rsidRDefault="002A0ED1" w:rsidP="007D23A8">
      <w:r w:rsidRPr="002A0ED1">
        <w:t>Les esters ont des ar</w:t>
      </w:r>
      <w:r w:rsidRPr="002A0ED1">
        <w:rPr>
          <w:rFonts w:hint="eastAsia"/>
        </w:rPr>
        <w:t>ô</w:t>
      </w:r>
      <w:r w:rsidRPr="002A0ED1">
        <w:t>mes souvent agr</w:t>
      </w:r>
      <w:r w:rsidRPr="002A0ED1">
        <w:rPr>
          <w:rFonts w:hint="eastAsia"/>
        </w:rPr>
        <w:t>é</w:t>
      </w:r>
      <w:r w:rsidRPr="002A0ED1">
        <w:t>ables et fruit</w:t>
      </w:r>
      <w:r w:rsidRPr="002A0ED1">
        <w:rPr>
          <w:rFonts w:hint="eastAsia"/>
        </w:rPr>
        <w:t>é</w:t>
      </w:r>
      <w:r w:rsidRPr="002A0ED1">
        <w:t>s ; ils sont fr</w:t>
      </w:r>
      <w:r w:rsidRPr="002A0ED1">
        <w:rPr>
          <w:rFonts w:hint="eastAsia"/>
        </w:rPr>
        <w:t>é</w:t>
      </w:r>
      <w:r w:rsidRPr="002A0ED1">
        <w:t>quemment employ</w:t>
      </w:r>
      <w:r w:rsidRPr="002A0ED1">
        <w:rPr>
          <w:rFonts w:hint="eastAsia"/>
        </w:rPr>
        <w:t>é</w:t>
      </w:r>
      <w:r w:rsidRPr="002A0ED1">
        <w:t>s pour reproduire les ar</w:t>
      </w:r>
      <w:r w:rsidRPr="002A0ED1">
        <w:rPr>
          <w:rFonts w:hint="eastAsia"/>
        </w:rPr>
        <w:t>ô</w:t>
      </w:r>
      <w:r w:rsidRPr="002A0ED1">
        <w:t>mes dans l</w:t>
      </w:r>
      <w:r w:rsidRPr="002A0ED1">
        <w:rPr>
          <w:rFonts w:hint="eastAsia"/>
        </w:rPr>
        <w:t>’</w:t>
      </w:r>
      <w:r w:rsidRPr="002A0ED1">
        <w:t>industrie alimentaire et/ou comme esp</w:t>
      </w:r>
      <w:r w:rsidRPr="002A0ED1">
        <w:rPr>
          <w:rFonts w:hint="eastAsia"/>
        </w:rPr>
        <w:t>è</w:t>
      </w:r>
      <w:r w:rsidRPr="002A0ED1">
        <w:t>ce chimique odorante dans l</w:t>
      </w:r>
      <w:r w:rsidRPr="002A0ED1">
        <w:rPr>
          <w:rFonts w:hint="eastAsia"/>
        </w:rPr>
        <w:t>’</w:t>
      </w:r>
      <w:r w:rsidRPr="002A0ED1">
        <w:t>industrie de parfums.</w:t>
      </w:r>
      <w:r>
        <w:t xml:space="preserve"> Les objectifs sont ici de :</w:t>
      </w:r>
    </w:p>
    <w:p w:rsidR="00984EAB" w:rsidRPr="00FB1A8D" w:rsidRDefault="00C40FFE" w:rsidP="002A0ED1">
      <w:pPr>
        <w:numPr>
          <w:ilvl w:val="0"/>
          <w:numId w:val="11"/>
        </w:numPr>
        <w:rPr>
          <w:color w:val="auto"/>
        </w:rPr>
      </w:pPr>
      <w:proofErr w:type="gramStart"/>
      <w:r>
        <w:rPr>
          <w:color w:val="auto"/>
        </w:rPr>
        <w:t>s’approprier</w:t>
      </w:r>
      <w:proofErr w:type="gramEnd"/>
      <w:r>
        <w:rPr>
          <w:color w:val="auto"/>
        </w:rPr>
        <w:t xml:space="preserve"> </w:t>
      </w:r>
      <w:r w:rsidR="00984EAB" w:rsidRPr="00FB1A8D">
        <w:rPr>
          <w:color w:val="auto"/>
        </w:rPr>
        <w:t>un mode d'extraction d'une huile essentielle</w:t>
      </w:r>
      <w:r>
        <w:rPr>
          <w:color w:val="auto"/>
        </w:rPr>
        <w:t> ;</w:t>
      </w:r>
    </w:p>
    <w:p w:rsidR="00984EAB" w:rsidRDefault="00B45FA9" w:rsidP="002A0ED1">
      <w:pPr>
        <w:numPr>
          <w:ilvl w:val="0"/>
          <w:numId w:val="11"/>
        </w:numPr>
      </w:pPr>
      <w:proofErr w:type="gramStart"/>
      <w:r w:rsidRPr="00FB1A8D">
        <w:rPr>
          <w:color w:val="auto"/>
        </w:rPr>
        <w:t>d</w:t>
      </w:r>
      <w:r w:rsidR="00984EAB" w:rsidRPr="00FB1A8D">
        <w:rPr>
          <w:color w:val="auto"/>
        </w:rPr>
        <w:t>écouvrir</w:t>
      </w:r>
      <w:proofErr w:type="gramEnd"/>
      <w:r w:rsidR="00984EAB" w:rsidRPr="00FB1A8D">
        <w:t xml:space="preserve"> la synthèse utilisant</w:t>
      </w:r>
      <w:r w:rsidR="00984EAB">
        <w:t xml:space="preserve"> un montage à reflux</w:t>
      </w:r>
      <w:r w:rsidR="00C40FFE">
        <w:t> ;</w:t>
      </w:r>
    </w:p>
    <w:p w:rsidR="007D23A8" w:rsidRDefault="00984EAB" w:rsidP="002A0ED1">
      <w:pPr>
        <w:numPr>
          <w:ilvl w:val="0"/>
          <w:numId w:val="11"/>
        </w:numPr>
      </w:pPr>
      <w:proofErr w:type="gramStart"/>
      <w:r>
        <w:t>rédiger</w:t>
      </w:r>
      <w:proofErr w:type="gramEnd"/>
      <w:r>
        <w:t xml:space="preserve"> un protocole</w:t>
      </w:r>
      <w:r w:rsidR="00C40FFE">
        <w:t> ;</w:t>
      </w:r>
    </w:p>
    <w:p w:rsidR="002A0ED1" w:rsidRDefault="00984EAB" w:rsidP="002A0ED1">
      <w:pPr>
        <w:numPr>
          <w:ilvl w:val="0"/>
          <w:numId w:val="11"/>
        </w:numPr>
      </w:pPr>
      <w:proofErr w:type="gramStart"/>
      <w:r>
        <w:t>interpréter</w:t>
      </w:r>
      <w:proofErr w:type="gramEnd"/>
      <w:r>
        <w:t xml:space="preserve"> une analyse par CCM</w:t>
      </w:r>
      <w:r w:rsidR="00C40FFE">
        <w:t> ;</w:t>
      </w:r>
    </w:p>
    <w:p w:rsidR="00FD53A2" w:rsidRDefault="00FD53A2" w:rsidP="002A0ED1">
      <w:pPr>
        <w:numPr>
          <w:ilvl w:val="0"/>
          <w:numId w:val="11"/>
        </w:numPr>
      </w:pPr>
      <w:proofErr w:type="gramStart"/>
      <w:r>
        <w:t>discuter</w:t>
      </w:r>
      <w:proofErr w:type="gramEnd"/>
      <w:r>
        <w:t xml:space="preserve"> des différences entre extrait naturel, arôme naturel et arôme artificiel.</w:t>
      </w:r>
    </w:p>
    <w:p w:rsidR="007D23A8" w:rsidRDefault="007D23A8" w:rsidP="007D23A8">
      <w:pPr>
        <w:pStyle w:val="Titre2"/>
        <w:rPr>
          <w:color w:val="2E74B5"/>
        </w:rPr>
      </w:pPr>
      <w:r>
        <w:rPr>
          <w:color w:val="2E74B5"/>
        </w:rPr>
        <w:t>Documents</w:t>
      </w:r>
      <w:r w:rsidRPr="006A2FC4">
        <w:rPr>
          <w:color w:val="2E74B5"/>
        </w:rPr>
        <w:t> </w:t>
      </w:r>
      <w:r w:rsidR="003C4CB9">
        <w:rPr>
          <w:color w:val="2E74B5"/>
        </w:rPr>
        <w:t xml:space="preserve">généraux </w:t>
      </w:r>
      <w:r w:rsidRPr="006A2FC4">
        <w:rPr>
          <w:color w:val="2E74B5"/>
        </w:rPr>
        <w:t>:</w:t>
      </w:r>
    </w:p>
    <w:p w:rsidR="007D23A8" w:rsidRDefault="007D23A8" w:rsidP="007D2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D23A8" w:rsidTr="00BA2FD7">
        <w:tc>
          <w:tcPr>
            <w:tcW w:w="9772" w:type="dxa"/>
            <w:shd w:val="clear" w:color="auto" w:fill="E7E6E6"/>
          </w:tcPr>
          <w:p w:rsidR="007D23A8" w:rsidRPr="00BA2FD7" w:rsidRDefault="007D23A8" w:rsidP="00AF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 w:rsidR="00AF4C1B">
              <w:rPr>
                <w:rFonts w:ascii="Arial" w:hAnsi="Arial" w:cs="Arial"/>
                <w:b/>
                <w:bCs/>
                <w:sz w:val="22"/>
                <w:szCs w:val="22"/>
              </w:rPr>
              <w:t>1 : composition de l'huile essentielle de lavande</w:t>
            </w:r>
          </w:p>
        </w:tc>
      </w:tr>
      <w:tr w:rsidR="007D23A8" w:rsidTr="00BA2FD7">
        <w:tc>
          <w:tcPr>
            <w:tcW w:w="9772" w:type="dxa"/>
            <w:shd w:val="clear" w:color="auto" w:fill="auto"/>
          </w:tcPr>
          <w:p w:rsidR="007D23A8" w:rsidRDefault="007D23A8" w:rsidP="00BA2FD7"/>
          <w:p w:rsidR="00AF4C1B" w:rsidRDefault="00AF4C1B" w:rsidP="00AF4C1B">
            <w:r>
              <w:t xml:space="preserve">Une analyse par chromatographie en phase </w:t>
            </w:r>
            <w:r w:rsidRPr="00FB1A8D">
              <w:rPr>
                <w:color w:val="auto"/>
              </w:rPr>
              <w:t>gaz</w:t>
            </w:r>
            <w:r w:rsidR="00FB1A8D" w:rsidRPr="00FB1A8D">
              <w:rPr>
                <w:color w:val="auto"/>
              </w:rPr>
              <w:t>euse</w:t>
            </w:r>
            <w:r w:rsidRPr="00B45FA9">
              <w:rPr>
                <w:color w:val="FF0000"/>
              </w:rPr>
              <w:t xml:space="preserve"> </w:t>
            </w:r>
            <w:r>
              <w:t>permet de déterminer la composition moyenne</w:t>
            </w:r>
            <w:r w:rsidRPr="00B45FA9">
              <w:rPr>
                <w:color w:val="FF0000"/>
              </w:rPr>
              <w:t xml:space="preserve"> </w:t>
            </w:r>
            <w:r>
              <w:t>de l</w:t>
            </w:r>
            <w:r>
              <w:rPr>
                <w:rFonts w:hint="eastAsia"/>
              </w:rPr>
              <w:t>’</w:t>
            </w:r>
            <w:r>
              <w:t xml:space="preserve">essence de lavande: 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proofErr w:type="spellStart"/>
            <w:r>
              <w:t>Linalol</w:t>
            </w:r>
            <w:proofErr w:type="spellEnd"/>
            <w:r>
              <w:t xml:space="preserve"> : 23 %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r>
              <w:t>Terpin</w:t>
            </w:r>
            <w:r>
              <w:rPr>
                <w:rFonts w:hint="eastAsia"/>
              </w:rPr>
              <w:t>è</w:t>
            </w:r>
            <w:r>
              <w:t>ne-4-ol : 4%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r>
              <w:t>Ac</w:t>
            </w:r>
            <w:r>
              <w:rPr>
                <w:rFonts w:hint="eastAsia"/>
              </w:rPr>
              <w:t>é</w:t>
            </w:r>
            <w:r>
              <w:t xml:space="preserve">tate de </w:t>
            </w:r>
            <w:proofErr w:type="spellStart"/>
            <w:r>
              <w:t>linalyle</w:t>
            </w:r>
            <w:proofErr w:type="spellEnd"/>
            <w:r>
              <w:t xml:space="preserve"> : 33 %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r>
              <w:t>Ac</w:t>
            </w:r>
            <w:r>
              <w:rPr>
                <w:rFonts w:hint="eastAsia"/>
              </w:rPr>
              <w:t>é</w:t>
            </w:r>
            <w:r>
              <w:t xml:space="preserve">tate de </w:t>
            </w:r>
            <w:proofErr w:type="spellStart"/>
            <w:r>
              <w:t>lavandulyle</w:t>
            </w:r>
            <w:proofErr w:type="spellEnd"/>
            <w:r>
              <w:t xml:space="preserve"> : 5%</w:t>
            </w:r>
          </w:p>
          <w:p w:rsidR="007D23A8" w:rsidRDefault="00AF4C1B" w:rsidP="00AF4C1B">
            <w:pPr>
              <w:numPr>
                <w:ilvl w:val="0"/>
                <w:numId w:val="12"/>
              </w:numPr>
            </w:pPr>
            <w:r>
              <w:t>Autre constituants : 35 %</w:t>
            </w:r>
          </w:p>
          <w:p w:rsidR="00AF4C1B" w:rsidRDefault="00AF4C1B" w:rsidP="00AF4C1B"/>
        </w:tc>
      </w:tr>
    </w:tbl>
    <w:p w:rsidR="007D23A8" w:rsidRDefault="007D23A8" w:rsidP="007D2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C4CB9" w:rsidTr="007E50F9">
        <w:tc>
          <w:tcPr>
            <w:tcW w:w="9772" w:type="dxa"/>
            <w:shd w:val="clear" w:color="auto" w:fill="E7E6E6"/>
          </w:tcPr>
          <w:p w:rsidR="003C4CB9" w:rsidRPr="00BA2FD7" w:rsidRDefault="003C4CB9" w:rsidP="00C40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facultatif </w:t>
            </w:r>
            <w:r w:rsidR="00412A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modes d'extraction des essences de végétaux</w:t>
            </w:r>
          </w:p>
        </w:tc>
      </w:tr>
      <w:tr w:rsidR="003C4CB9" w:rsidTr="007E50F9">
        <w:tc>
          <w:tcPr>
            <w:tcW w:w="9772" w:type="dxa"/>
            <w:shd w:val="clear" w:color="auto" w:fill="auto"/>
          </w:tcPr>
          <w:p w:rsidR="003C4CB9" w:rsidRDefault="003C4CB9" w:rsidP="007E50F9"/>
          <w:p w:rsidR="003C4CB9" w:rsidRDefault="003C4CB9" w:rsidP="007E50F9">
            <w:r>
              <w:t>Il est possible d'extraire les essences des v</w:t>
            </w:r>
            <w:r>
              <w:rPr>
                <w:rFonts w:hint="eastAsia"/>
              </w:rPr>
              <w:t>é</w:t>
            </w:r>
            <w:r>
              <w:t>g</w:t>
            </w:r>
            <w:r>
              <w:rPr>
                <w:rFonts w:hint="eastAsia"/>
              </w:rPr>
              <w:t>é</w:t>
            </w:r>
            <w:r>
              <w:t>taux par :</w:t>
            </w:r>
          </w:p>
          <w:p w:rsidR="003C4CB9" w:rsidRDefault="003C4CB9" w:rsidP="007E50F9">
            <w:pPr>
              <w:numPr>
                <w:ilvl w:val="0"/>
                <w:numId w:val="14"/>
              </w:numPr>
            </w:pPr>
            <w:proofErr w:type="gramStart"/>
            <w:r>
              <w:t>pressage</w:t>
            </w:r>
            <w:proofErr w:type="gramEnd"/>
            <w:r>
              <w:t xml:space="preserve"> (puis filtration) ;</w:t>
            </w:r>
          </w:p>
          <w:p w:rsidR="003C4CB9" w:rsidRDefault="003C4CB9" w:rsidP="007E50F9">
            <w:pPr>
              <w:numPr>
                <w:ilvl w:val="0"/>
                <w:numId w:val="14"/>
              </w:numPr>
            </w:pPr>
            <w:proofErr w:type="gramStart"/>
            <w:r>
              <w:t>broyage</w:t>
            </w:r>
            <w:proofErr w:type="gramEnd"/>
            <w:r>
              <w:t xml:space="preserve"> dans un solvant (puis filtration) ;</w:t>
            </w:r>
          </w:p>
          <w:p w:rsidR="003C4CB9" w:rsidRDefault="003C4CB9" w:rsidP="007E50F9">
            <w:pPr>
              <w:numPr>
                <w:ilvl w:val="0"/>
                <w:numId w:val="14"/>
              </w:numPr>
            </w:pPr>
            <w:proofErr w:type="spellStart"/>
            <w:proofErr w:type="gramStart"/>
            <w:r>
              <w:t>hydrodistillation</w:t>
            </w:r>
            <w:proofErr w:type="spellEnd"/>
            <w:proofErr w:type="gramEnd"/>
            <w:r>
              <w:t xml:space="preserve"> d'une mac</w:t>
            </w:r>
            <w:r>
              <w:rPr>
                <w:rFonts w:hint="eastAsia"/>
              </w:rPr>
              <w:t>é</w:t>
            </w:r>
            <w:r>
              <w:t>ration v</w:t>
            </w:r>
            <w:r>
              <w:rPr>
                <w:rFonts w:hint="eastAsia"/>
              </w:rPr>
              <w:t>é</w:t>
            </w:r>
            <w:r>
              <w:t>g</w:t>
            </w:r>
            <w:r>
              <w:rPr>
                <w:rFonts w:hint="eastAsia"/>
              </w:rPr>
              <w:t>é</w:t>
            </w:r>
            <w:r>
              <w:t>tale (m</w:t>
            </w:r>
            <w:r>
              <w:rPr>
                <w:rFonts w:hint="eastAsia"/>
              </w:rPr>
              <w:t>é</w:t>
            </w:r>
            <w:r>
              <w:t>lange d'eau et de v</w:t>
            </w:r>
            <w:r>
              <w:rPr>
                <w:rFonts w:hint="eastAsia"/>
              </w:rPr>
              <w:t>é</w:t>
            </w:r>
            <w:r>
              <w:t>g</w:t>
            </w:r>
            <w:r>
              <w:rPr>
                <w:rFonts w:hint="eastAsia"/>
              </w:rPr>
              <w:t>é</w:t>
            </w:r>
            <w:r>
              <w:t>taux broy</w:t>
            </w:r>
            <w:r>
              <w:rPr>
                <w:rFonts w:hint="eastAsia"/>
              </w:rPr>
              <w:t>é</w:t>
            </w:r>
            <w:r>
              <w:t>s).</w:t>
            </w:r>
          </w:p>
          <w:p w:rsidR="003C4CB9" w:rsidRDefault="003C4CB9" w:rsidP="007E50F9"/>
        </w:tc>
      </w:tr>
    </w:tbl>
    <w:p w:rsidR="003C4CB9" w:rsidRDefault="003C4CB9" w:rsidP="007D23A8"/>
    <w:p w:rsidR="003C4CB9" w:rsidRDefault="003C4CB9" w:rsidP="007D23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D23A8" w:rsidTr="00BA2FD7">
        <w:tc>
          <w:tcPr>
            <w:tcW w:w="9772" w:type="dxa"/>
            <w:shd w:val="clear" w:color="auto" w:fill="E7E6E6"/>
          </w:tcPr>
          <w:p w:rsidR="007D23A8" w:rsidRPr="00BA2FD7" w:rsidRDefault="007D23A8" w:rsidP="00AF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Document </w:t>
            </w:r>
            <w:r w:rsidR="00AF4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: 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propri</w:t>
            </w:r>
            <w:r w:rsidR="00AF4C1B"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4C1B"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s physico-chimiques de quelques esp</w:t>
            </w:r>
            <w:r w:rsidR="00AF4C1B"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è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ces chimiques</w:t>
            </w:r>
          </w:p>
        </w:tc>
      </w:tr>
      <w:tr w:rsidR="007D23A8" w:rsidTr="00BA2FD7">
        <w:tc>
          <w:tcPr>
            <w:tcW w:w="9772" w:type="dxa"/>
            <w:shd w:val="clear" w:color="auto" w:fill="auto"/>
          </w:tcPr>
          <w:p w:rsidR="007D23A8" w:rsidRDefault="007D23A8" w:rsidP="00BA2FD7"/>
          <w:p w:rsidR="00F03D63" w:rsidRDefault="00F03D63" w:rsidP="00BA2FD7">
            <w:pPr>
              <w:rPr>
                <w:b/>
              </w:rPr>
            </w:pPr>
            <w:r w:rsidRPr="00F03D63">
              <w:rPr>
                <w:b/>
              </w:rPr>
              <w:t>Partie A</w:t>
            </w:r>
          </w:p>
          <w:p w:rsidR="00B45FA9" w:rsidRPr="00F03D63" w:rsidRDefault="00B45FA9" w:rsidP="00BA2FD7">
            <w:pPr>
              <w:rPr>
                <w:b/>
              </w:rPr>
            </w:pPr>
            <w:r>
              <w:rPr>
                <w:b/>
              </w:rPr>
              <w:t>Généralités et températures de changement d’états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2004"/>
              <w:gridCol w:w="1813"/>
              <w:gridCol w:w="1873"/>
              <w:gridCol w:w="1905"/>
            </w:tblGrid>
            <w:tr w:rsidR="00AF4C1B" w:rsidRPr="00731099" w:rsidTr="00C136C7">
              <w:trPr>
                <w:trHeight w:val="567"/>
              </w:trPr>
              <w:tc>
                <w:tcPr>
                  <w:tcW w:w="981" w:type="pc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 xml:space="preserve">Acétate de </w:t>
                  </w:r>
                  <w:proofErr w:type="spellStart"/>
                  <w:r w:rsidRPr="00C136C7">
                    <w:rPr>
                      <w:b/>
                      <w:sz w:val="20"/>
                      <w:szCs w:val="20"/>
                    </w:rPr>
                    <w:t>linalyle</w:t>
                  </w:r>
                  <w:proofErr w:type="spellEnd"/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Cyclohexane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Ethanol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Acétone</w:t>
                  </w:r>
                </w:p>
              </w:tc>
            </w:tr>
            <w:tr w:rsidR="00AF4C1B" w:rsidRPr="00731099" w:rsidTr="00C136C7">
              <w:tc>
                <w:tcPr>
                  <w:tcW w:w="981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Molécule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AF4C1B" w:rsidRPr="00C136C7" w:rsidRDefault="004C6AB0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35380" cy="407035"/>
                        <wp:effectExtent l="0" t="0" r="0" b="0"/>
                        <wp:docPr id="21" name="Image 14" descr="Résultat de recherche d'images pour &quot;acétate de linalyl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Résultat de recherche d'images pour &quot;acétate de linalyl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AF4C1B" w:rsidRPr="00C136C7" w:rsidRDefault="004C6AB0" w:rsidP="00C136C7">
                  <w:pPr>
                    <w:jc w:val="center"/>
                  </w:pPr>
                  <w:r w:rsidRPr="00C136C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8340" cy="693420"/>
                        <wp:effectExtent l="0" t="0" r="0" b="0"/>
                        <wp:docPr id="20" name="Image 4" descr="Résultat de recherche d'images pour &quot;cyclohexan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Résultat de recherche d'images pour &quot;cyclohexan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34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AF4C1B" w:rsidRPr="00C136C7" w:rsidRDefault="004C6AB0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rFonts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39800" cy="532765"/>
                        <wp:effectExtent l="0" t="0" r="0" b="0"/>
                        <wp:docPr id="19" name="il_fi" descr="http://www.m2c3.com/c106/lab/D_Specific_Heat_3/ethan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2c3.com/c106/lab/D_Specific_Heat_3/ethan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AF4C1B" w:rsidRPr="00C136C7" w:rsidRDefault="004C6AB0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rFonts w:cs="Arial"/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9000" cy="572770"/>
                        <wp:effectExtent l="0" t="0" r="0" b="0"/>
                        <wp:docPr id="18" name="Image 22" descr="http://upload.maieutik.org/picture/Acetone-structural_1299408797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2" descr="http://upload.maieutik.org/picture/Acetone-structural_12994087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C1B" w:rsidRPr="00731099" w:rsidTr="00C136C7">
              <w:tc>
                <w:tcPr>
                  <w:tcW w:w="981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Pictogramme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AF4C1B" w:rsidRPr="00C136C7" w:rsidRDefault="004C6AB0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6875" cy="396875"/>
                        <wp:effectExtent l="0" t="0" r="0" b="0"/>
                        <wp:docPr id="17" name="Image 46" descr="SGH02 : Inflammable">
                          <a:hlinkClick xmlns:a="http://schemas.openxmlformats.org/drawingml/2006/main" r:id="rId14" tooltip="&quot;SGH02 : Inflammabl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6" descr="SGH02 : Inflamm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6875" cy="396875"/>
                        <wp:effectExtent l="0" t="0" r="0" b="0"/>
                        <wp:docPr id="6" name="Image 49" descr="SGH08 : Sensibilisant, mutagène, cancérogène, reprotoxique">
                          <a:hlinkClick xmlns:a="http://schemas.openxmlformats.org/drawingml/2006/main" r:id="rId16" tooltip="&quot;SGH08 : Sensibilisant, mutagène, cancérogène, reprotox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9" descr="SGH08 : Sensibilisant, mutagène, cancérogène, reprotox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C1B" w:rsidRPr="00C136C7" w:rsidRDefault="004C6AB0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6875" cy="396875"/>
                        <wp:effectExtent l="0" t="0" r="0" b="0"/>
                        <wp:docPr id="7" name="Image 52" descr="SGH09 : Danger pour le milieu aquatique">
                          <a:hlinkClick xmlns:a="http://schemas.openxmlformats.org/drawingml/2006/main" r:id="rId18" tooltip="&quot;SGH09 : Danger pour le milieu aquat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2" descr="SGH09 : Danger pour le milieu aqua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6875" cy="396875"/>
                        <wp:effectExtent l="0" t="0" r="0" b="0"/>
                        <wp:docPr id="8" name="Image 64" descr="SGH07 : Toxique, irritant, sensibilisant, narcotique">
                          <a:hlinkClick xmlns:a="http://schemas.openxmlformats.org/drawingml/2006/main" r:id="rId20" tooltip="&quot;SGH07 : Toxique, irritant, sensibilisant, narcot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4" descr="SGH07 : Toxique, irritant, sensibilisant, narco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AF4C1B" w:rsidRPr="00C136C7" w:rsidRDefault="004C6AB0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6875" cy="396875"/>
                        <wp:effectExtent l="0" t="0" r="0" b="0"/>
                        <wp:docPr id="9" name="Image 58" descr="SGH02 : Inflammable">
                          <a:hlinkClick xmlns:a="http://schemas.openxmlformats.org/drawingml/2006/main" r:id="rId14" tooltip="&quot;SGH02 : Inflammabl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8" descr="SGH02 : Inflamm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AF4C1B" w:rsidRPr="00C136C7" w:rsidRDefault="004C6AB0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6875" cy="396875"/>
                        <wp:effectExtent l="0" t="0" r="0" b="0"/>
                        <wp:docPr id="10" name="Image 61" descr="SGH02 : Inflammable">
                          <a:hlinkClick xmlns:a="http://schemas.openxmlformats.org/drawingml/2006/main" r:id="rId14" tooltip="&quot;SGH02 : Inflammabl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1" descr="SGH02 : Inflamm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6875" cy="396875"/>
                        <wp:effectExtent l="0" t="0" r="0" b="0"/>
                        <wp:docPr id="11" name="Image 64" descr="SGH07 : Toxique, irritant, sensibilisant, narcotique">
                          <a:hlinkClick xmlns:a="http://schemas.openxmlformats.org/drawingml/2006/main" r:id="rId20" tooltip="&quot;SGH07 : Toxique, irritant, sensibilisant, narcot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4" descr="SGH07 : Toxique, irritant, sensibilisant, narco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C1B" w:rsidRPr="00731099" w:rsidTr="00C136C7">
              <w:tc>
                <w:tcPr>
                  <w:tcW w:w="981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Etat physique à 20 °C sous 1 bar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</w:tr>
            <w:tr w:rsidR="00AF4C1B" w:rsidRPr="00731099" w:rsidTr="00C136C7">
              <w:tc>
                <w:tcPr>
                  <w:tcW w:w="981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Température de fusion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- 20 °C</w:t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6,47 °C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- 117 °C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- 94,6 °C</w:t>
                  </w:r>
                </w:p>
              </w:tc>
            </w:tr>
            <w:tr w:rsidR="00AF4C1B" w:rsidRPr="00731099" w:rsidTr="00C136C7">
              <w:tc>
                <w:tcPr>
                  <w:tcW w:w="981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Température d’ébullition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220 °C</w:t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80,7 °C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79 °C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AF4C1B" w:rsidRPr="00C136C7" w:rsidRDefault="00AF4C1B" w:rsidP="00C136C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56,1 °C</w:t>
                  </w:r>
                </w:p>
              </w:tc>
            </w:tr>
          </w:tbl>
          <w:p w:rsidR="007D23A8" w:rsidRDefault="007D23A8" w:rsidP="00BA2FD7"/>
          <w:p w:rsidR="00F03D63" w:rsidRPr="00F17707" w:rsidRDefault="00F03D63" w:rsidP="00F03D63">
            <w:pPr>
              <w:rPr>
                <w:b/>
              </w:rPr>
            </w:pPr>
            <w:r w:rsidRPr="00F17707">
              <w:rPr>
                <w:b/>
              </w:rPr>
              <w:t>Solubil</w:t>
            </w:r>
            <w:r w:rsidRPr="00FB1A8D">
              <w:rPr>
                <w:b/>
                <w:color w:val="auto"/>
              </w:rPr>
              <w:t>ité/ Misci</w:t>
            </w:r>
            <w:r w:rsidRPr="00F17707">
              <w:rPr>
                <w:b/>
              </w:rPr>
              <w:t>bilité de quelques espèces</w:t>
            </w:r>
          </w:p>
          <w:p w:rsidR="00F03D63" w:rsidRDefault="004C6AB0" w:rsidP="00F03D63">
            <w:r w:rsidRPr="00AF4C1B">
              <w:rPr>
                <w:rFonts w:ascii="Comic Sans MS" w:hAnsi="Comic Sans MS"/>
                <w:noProof/>
                <w:sz w:val="4"/>
                <w:szCs w:val="4"/>
                <w:lang w:eastAsia="fr-FR"/>
              </w:rPr>
              <w:drawing>
                <wp:inline distT="0" distB="0" distL="0" distR="0">
                  <wp:extent cx="5913755" cy="1341755"/>
                  <wp:effectExtent l="0" t="0" r="0" b="0"/>
                  <wp:docPr id="1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D63" w:rsidRDefault="00F03D63" w:rsidP="00BA2FD7"/>
          <w:p w:rsidR="00F03D63" w:rsidRPr="00F03D63" w:rsidRDefault="00F03D63" w:rsidP="00BA2FD7">
            <w:pPr>
              <w:rPr>
                <w:b/>
              </w:rPr>
            </w:pPr>
            <w:r w:rsidRPr="00F03D63">
              <w:rPr>
                <w:b/>
              </w:rPr>
              <w:t>Partie B</w:t>
            </w:r>
          </w:p>
          <w:p w:rsidR="007D23A8" w:rsidRDefault="003C4CB9" w:rsidP="00BA2FD7">
            <w:r>
              <w:t xml:space="preserve">L'anhydride acétique est une espèce qui peut être </w:t>
            </w:r>
            <w:r w:rsidRPr="00FA0CA3">
              <w:rPr>
                <w:b/>
              </w:rPr>
              <w:t>hydrolysée</w:t>
            </w:r>
            <w:r>
              <w:t xml:space="preserve"> </w:t>
            </w:r>
            <w:r w:rsidR="00FA0CA3">
              <w:t xml:space="preserve">en </w:t>
            </w:r>
            <w:r>
              <w:t xml:space="preserve">acide acétique : </w:t>
            </w:r>
          </w:p>
          <w:p w:rsidR="00AF4C1B" w:rsidRDefault="004C6AB0" w:rsidP="003C4CB9">
            <w:pPr>
              <w:jc w:val="center"/>
            </w:pPr>
            <w:r w:rsidRPr="00004E26">
              <w:rPr>
                <w:noProof/>
                <w:lang w:eastAsia="fr-FR"/>
              </w:rPr>
              <w:drawing>
                <wp:inline distT="0" distB="0" distL="0" distR="0">
                  <wp:extent cx="3421380" cy="874395"/>
                  <wp:effectExtent l="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38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C1B" w:rsidRDefault="00B62170" w:rsidP="00BA2FD7">
            <w:r>
              <w:t xml:space="preserve">L'acide acétique formé peut réagir en milieu neutre ou </w:t>
            </w:r>
            <w:r w:rsidRPr="006B7C0F">
              <w:t>basique</w:t>
            </w:r>
            <w:r w:rsidR="00C40FFE" w:rsidRPr="006B7C0F">
              <w:t xml:space="preserve">. Par exemple, il peut réagir avec l’ion </w:t>
            </w:r>
            <w:r w:rsidRPr="006B7C0F">
              <w:t>hydrogénocarbonate de sodium pour donner l'ion acétate</w:t>
            </w:r>
            <w:r w:rsidR="00C40FFE" w:rsidRPr="006B7C0F">
              <w:t xml:space="preserve">, qui est </w:t>
            </w:r>
            <w:r w:rsidRPr="006B7C0F">
              <w:t>très soluble dans l'eau.</w:t>
            </w:r>
            <w:r w:rsidR="00C40FFE" w:rsidRPr="006B7C0F">
              <w:t xml:space="preserve"> Cette réaction conduit </w:t>
            </w:r>
            <w:r w:rsidRPr="006B7C0F">
              <w:t>à la formation de CO</w:t>
            </w:r>
            <w:r w:rsidRPr="006B7C0F">
              <w:rPr>
                <w:vertAlign w:val="subscript"/>
              </w:rPr>
              <w:t>2</w:t>
            </w:r>
            <w:r w:rsidRPr="006B7C0F">
              <w:t>(g).</w:t>
            </w:r>
          </w:p>
          <w:p w:rsidR="00AF4C1B" w:rsidRDefault="00AF4C1B" w:rsidP="00BA2FD7"/>
          <w:p w:rsidR="00AF4C1B" w:rsidRDefault="00AF4C1B" w:rsidP="00BA2FD7"/>
          <w:p w:rsidR="00AF4C1B" w:rsidRDefault="00AF4C1B" w:rsidP="00BA2FD7"/>
        </w:tc>
      </w:tr>
    </w:tbl>
    <w:p w:rsidR="00FA0CA3" w:rsidRDefault="00FA0CA3" w:rsidP="007D23A8"/>
    <w:p w:rsidR="00AF4C1B" w:rsidRDefault="00FA0CA3" w:rsidP="007D23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F4C1B" w:rsidTr="00C136C7">
        <w:tc>
          <w:tcPr>
            <w:tcW w:w="9772" w:type="dxa"/>
            <w:shd w:val="clear" w:color="auto" w:fill="E7E6E6"/>
          </w:tcPr>
          <w:p w:rsidR="00AF4C1B" w:rsidRPr="00BA2FD7" w:rsidRDefault="00AF4C1B" w:rsidP="00C136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Document </w:t>
            </w:r>
            <w:r w:rsidR="00F1770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  <w:r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signification des pictogrammes de s</w:t>
            </w:r>
            <w:r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  <w:r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curit</w:t>
            </w:r>
            <w:r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</w:p>
        </w:tc>
      </w:tr>
      <w:tr w:rsidR="00AF4C1B" w:rsidTr="00C136C7">
        <w:tc>
          <w:tcPr>
            <w:tcW w:w="9772" w:type="dxa"/>
            <w:shd w:val="clear" w:color="auto" w:fill="auto"/>
          </w:tcPr>
          <w:p w:rsidR="00AF4C1B" w:rsidRDefault="004C6AB0" w:rsidP="00AF4C1B">
            <w:r w:rsidRPr="00AF4C1B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6019165" cy="3100070"/>
                  <wp:effectExtent l="0" t="0" r="0" b="0"/>
                  <wp:docPr id="14" name="il_fi" descr="http://www.lyc-monod-clamart.ac-versailles.fr/IMG/jpg/nouveaux_pictogramm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nod-clamart.ac-versailles.fr/IMG/jpg/nouveaux_pictogramm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165" cy="310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C1B" w:rsidRDefault="00AF4C1B" w:rsidP="007D2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6F4009" w:rsidTr="007E50F9">
        <w:tc>
          <w:tcPr>
            <w:tcW w:w="9772" w:type="dxa"/>
            <w:shd w:val="clear" w:color="auto" w:fill="E7E6E6"/>
          </w:tcPr>
          <w:p w:rsidR="006F4009" w:rsidRPr="00BA2FD7" w:rsidRDefault="006F4009" w:rsidP="006F40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: Extraction de l'essence de lavande</w:t>
            </w:r>
          </w:p>
        </w:tc>
      </w:tr>
      <w:tr w:rsidR="006F4009" w:rsidTr="007E50F9">
        <w:tc>
          <w:tcPr>
            <w:tcW w:w="9772" w:type="dxa"/>
            <w:shd w:val="clear" w:color="auto" w:fill="auto"/>
          </w:tcPr>
          <w:p w:rsidR="006F4009" w:rsidRDefault="006F4009" w:rsidP="006F4009">
            <w:pPr>
              <w:rPr>
                <w:noProof/>
                <w:lang w:eastAsia="fr-FR"/>
              </w:rPr>
            </w:pPr>
          </w:p>
          <w:p w:rsidR="00C75995" w:rsidRPr="007E50F9" w:rsidRDefault="00C75995" w:rsidP="006F400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Vidéo de l'hydrodisillation de fleur de lavande : </w:t>
            </w:r>
          </w:p>
          <w:p w:rsidR="006F4009" w:rsidRPr="006352FD" w:rsidRDefault="00C0703C" w:rsidP="006F4009">
            <w:pPr>
              <w:rPr>
                <w:noProof/>
                <w:sz w:val="20"/>
                <w:lang w:eastAsia="fr-FR"/>
              </w:rPr>
            </w:pPr>
            <w:hyperlink r:id="rId25" w:history="1">
              <w:r w:rsidR="00C75995" w:rsidRPr="006352FD">
                <w:rPr>
                  <w:rStyle w:val="Lienhypertexte"/>
                  <w:sz w:val="20"/>
                </w:rPr>
                <w:t>https://www.youtube.com/watch?v=Lz6ARlFxZiY</w:t>
              </w:r>
            </w:hyperlink>
          </w:p>
          <w:p w:rsidR="00C75995" w:rsidRDefault="00C75995" w:rsidP="006F4009">
            <w:pPr>
              <w:rPr>
                <w:noProof/>
                <w:lang w:eastAsia="fr-FR"/>
              </w:rPr>
            </w:pPr>
          </w:p>
          <w:p w:rsidR="00C75995" w:rsidRDefault="00C75995" w:rsidP="006F400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Une étape supplémentaire est en général réalisée avant de stocker la phase organique</w:t>
            </w:r>
            <w:r w:rsidR="00C40FFE">
              <w:rPr>
                <w:noProof/>
                <w:lang w:eastAsia="fr-FR"/>
              </w:rPr>
              <w:t>.</w:t>
            </w:r>
          </w:p>
          <w:p w:rsidR="006F4009" w:rsidRPr="007E50F9" w:rsidRDefault="006F4009" w:rsidP="006F4009">
            <w:pPr>
              <w:rPr>
                <w:b/>
                <w:noProof/>
                <w:lang w:eastAsia="fr-FR"/>
              </w:rPr>
            </w:pPr>
            <w:r w:rsidRPr="007E50F9">
              <w:rPr>
                <w:b/>
                <w:noProof/>
                <w:lang w:eastAsia="fr-FR"/>
              </w:rPr>
              <w:t>Séchage de la phase organique :</w:t>
            </w:r>
          </w:p>
          <w:p w:rsidR="00624620" w:rsidRPr="007E50F9" w:rsidRDefault="00C40FFE" w:rsidP="00624620">
            <w:pPr>
              <w:numPr>
                <w:ilvl w:val="0"/>
                <w:numId w:val="1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</w:t>
            </w:r>
            <w:r w:rsidR="00624620" w:rsidRPr="007E50F9">
              <w:rPr>
                <w:noProof/>
                <w:lang w:eastAsia="fr-FR"/>
              </w:rPr>
              <w:t>écher la</w:t>
            </w:r>
            <w:r w:rsidR="006F4009" w:rsidRPr="007E50F9">
              <w:rPr>
                <w:noProof/>
                <w:lang w:eastAsia="fr-FR"/>
              </w:rPr>
              <w:t xml:space="preserve"> phase organique </w:t>
            </w:r>
            <w:r w:rsidR="00624620" w:rsidRPr="007E50F9">
              <w:rPr>
                <w:noProof/>
                <w:lang w:eastAsia="fr-FR"/>
              </w:rPr>
              <w:t>sur sulfate de magnesium anhydre</w:t>
            </w:r>
            <w:r>
              <w:rPr>
                <w:noProof/>
                <w:lang w:eastAsia="fr-FR"/>
              </w:rPr>
              <w:t> ;</w:t>
            </w:r>
          </w:p>
          <w:p w:rsidR="006F4009" w:rsidRPr="007E50F9" w:rsidRDefault="00C40FFE" w:rsidP="00624620">
            <w:pPr>
              <w:numPr>
                <w:ilvl w:val="0"/>
                <w:numId w:val="1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</w:t>
            </w:r>
            <w:r w:rsidR="00624620" w:rsidRPr="007E50F9">
              <w:rPr>
                <w:noProof/>
                <w:lang w:eastAsia="fr-FR"/>
              </w:rPr>
              <w:t xml:space="preserve">iltrer </w:t>
            </w:r>
            <w:r w:rsidR="006F4009" w:rsidRPr="007E50F9">
              <w:rPr>
                <w:noProof/>
                <w:lang w:eastAsia="fr-FR"/>
              </w:rPr>
              <w:t>dans un flacon propre.</w:t>
            </w:r>
          </w:p>
          <w:p w:rsidR="006F4009" w:rsidRDefault="006F4009" w:rsidP="007E50F9"/>
        </w:tc>
      </w:tr>
    </w:tbl>
    <w:p w:rsidR="00397BEF" w:rsidRDefault="00397BEF" w:rsidP="007D23A8"/>
    <w:p w:rsidR="00B3444A" w:rsidRDefault="00B3444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50323" w:rsidTr="007E50F9">
        <w:tc>
          <w:tcPr>
            <w:tcW w:w="9772" w:type="dxa"/>
            <w:shd w:val="clear" w:color="auto" w:fill="E7E6E6"/>
          </w:tcPr>
          <w:p w:rsidR="00250323" w:rsidRPr="00BA2FD7" w:rsidRDefault="00397BEF" w:rsidP="002503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="00250323" w:rsidRPr="00BA2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 w:rsidR="002503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: Synthèse de l'acétate de </w:t>
            </w:r>
            <w:proofErr w:type="spellStart"/>
            <w:r w:rsidR="00250323">
              <w:rPr>
                <w:rFonts w:ascii="Arial" w:hAnsi="Arial" w:cs="Arial"/>
                <w:b/>
                <w:bCs/>
                <w:sz w:val="22"/>
                <w:szCs w:val="22"/>
              </w:rPr>
              <w:t>linalyle</w:t>
            </w:r>
            <w:proofErr w:type="spellEnd"/>
          </w:p>
        </w:tc>
      </w:tr>
      <w:tr w:rsidR="00250323" w:rsidTr="007E50F9">
        <w:tc>
          <w:tcPr>
            <w:tcW w:w="9772" w:type="dxa"/>
            <w:shd w:val="clear" w:color="auto" w:fill="auto"/>
          </w:tcPr>
          <w:p w:rsidR="00250323" w:rsidRPr="00250323" w:rsidRDefault="00250323" w:rsidP="007E50F9">
            <w:pPr>
              <w:rPr>
                <w:noProof/>
                <w:lang w:eastAsia="fr-FR"/>
              </w:rPr>
            </w:pPr>
          </w:p>
          <w:p w:rsidR="00250323" w:rsidRDefault="00144E52" w:rsidP="0025032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Le début de la synthèse jusqu'à la première extraction peuvent être visionnés ici : </w:t>
            </w:r>
          </w:p>
          <w:p w:rsidR="00144E52" w:rsidRPr="006352FD" w:rsidRDefault="00C0703C" w:rsidP="00250323">
            <w:pPr>
              <w:rPr>
                <w:sz w:val="20"/>
              </w:rPr>
            </w:pPr>
            <w:hyperlink r:id="rId26" w:history="1">
              <w:r w:rsidR="00144E52" w:rsidRPr="006352FD">
                <w:rPr>
                  <w:rStyle w:val="Lienhypertexte"/>
                  <w:sz w:val="20"/>
                </w:rPr>
                <w:t>https://www.youtube.com/watch?v=wOwYwg7JOo0</w:t>
              </w:r>
            </w:hyperlink>
          </w:p>
          <w:p w:rsidR="00144E52" w:rsidRDefault="00144E52" w:rsidP="00250323"/>
          <w:p w:rsidR="00144E52" w:rsidRDefault="00144E52" w:rsidP="00250323">
            <w:r>
              <w:t xml:space="preserve">La suite de la </w:t>
            </w:r>
            <w:r w:rsidRPr="006B7C0F">
              <w:t xml:space="preserve">synthèse se </w:t>
            </w:r>
            <w:r w:rsidR="00C40FFE" w:rsidRPr="006B7C0F">
              <w:t xml:space="preserve">poursuit </w:t>
            </w:r>
            <w:r w:rsidRPr="006B7C0F">
              <w:t>selon</w:t>
            </w:r>
            <w:r>
              <w:t xml:space="preserve"> le protocole suivant</w:t>
            </w:r>
            <w:r w:rsidR="006E1D0E">
              <w:t>, à partir de la phase organique récupérée à l'issu</w:t>
            </w:r>
            <w:r w:rsidR="00636A00">
              <w:t>e</w:t>
            </w:r>
            <w:r w:rsidR="006E1D0E">
              <w:t xml:space="preserve"> de la vidéo</w:t>
            </w:r>
            <w:r w:rsidR="00C40FFE">
              <w:t>.</w:t>
            </w:r>
          </w:p>
          <w:p w:rsidR="00144E52" w:rsidRDefault="00144E52" w:rsidP="00250323">
            <w:pPr>
              <w:rPr>
                <w:noProof/>
                <w:lang w:eastAsia="fr-FR"/>
              </w:rPr>
            </w:pPr>
          </w:p>
          <w:p w:rsidR="00B62170" w:rsidRPr="00B62170" w:rsidRDefault="00B62170" w:rsidP="00250323">
            <w:pPr>
              <w:rPr>
                <w:b/>
                <w:noProof/>
                <w:lang w:eastAsia="fr-FR"/>
              </w:rPr>
            </w:pPr>
            <w:r w:rsidRPr="00B62170">
              <w:rPr>
                <w:b/>
                <w:noProof/>
                <w:lang w:eastAsia="fr-FR"/>
              </w:rPr>
              <w:t xml:space="preserve">Lavages de la phase organique : </w:t>
            </w:r>
          </w:p>
          <w:p w:rsidR="00250323" w:rsidRPr="00250323" w:rsidRDefault="00412A5A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</w:t>
            </w:r>
            <w:r w:rsidR="00B3444A">
              <w:rPr>
                <w:noProof/>
                <w:lang w:eastAsia="fr-FR"/>
              </w:rPr>
              <w:t>jouter</w:t>
            </w:r>
            <w:r w:rsidR="006B4132">
              <w:rPr>
                <w:noProof/>
                <w:lang w:eastAsia="fr-FR"/>
              </w:rPr>
              <w:t xml:space="preserve"> </w:t>
            </w:r>
            <w:r w:rsidR="00250323" w:rsidRPr="00250323">
              <w:rPr>
                <w:noProof/>
                <w:lang w:eastAsia="fr-FR"/>
              </w:rPr>
              <w:t>30 mL de solution d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hydrog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nocarbonate de sodium</w:t>
            </w:r>
            <w:r w:rsidR="006B4132">
              <w:rPr>
                <w:noProof/>
                <w:lang w:eastAsia="fr-FR"/>
              </w:rPr>
              <w:t xml:space="preserve"> à 5%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412A5A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</w:t>
            </w:r>
            <w:r w:rsidR="00250323" w:rsidRPr="00250323">
              <w:rPr>
                <w:noProof/>
                <w:lang w:eastAsia="fr-FR"/>
              </w:rPr>
              <w:t>ttendre que le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gagement gazeux soit fini avant de boucher l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 xml:space="preserve">ampoule </w:t>
            </w:r>
            <w:r w:rsidR="00250323" w:rsidRPr="00250323">
              <w:rPr>
                <w:rFonts w:hint="eastAsia"/>
                <w:noProof/>
                <w:lang w:eastAsia="fr-FR"/>
              </w:rPr>
              <w:t>à</w:t>
            </w:r>
            <w:r w:rsidR="00250323" w:rsidRPr="00250323">
              <w:rPr>
                <w:noProof/>
                <w:lang w:eastAsia="fr-FR"/>
              </w:rPr>
              <w:t xml:space="preserve">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canter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412A5A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</w:t>
            </w:r>
            <w:r w:rsidR="00250323" w:rsidRPr="00250323">
              <w:rPr>
                <w:noProof/>
                <w:lang w:eastAsia="fr-FR"/>
              </w:rPr>
              <w:t>giter doucement en prenant soin de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gazer souvent. Proc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der avec pr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caution, le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 xml:space="preserve">gagement gazeux peut </w:t>
            </w:r>
            <w:r w:rsidR="00250323" w:rsidRPr="00250323">
              <w:rPr>
                <w:rFonts w:hint="eastAsia"/>
                <w:noProof/>
                <w:lang w:eastAsia="fr-FR"/>
              </w:rPr>
              <w:t>ê</w:t>
            </w:r>
            <w:r w:rsidR="00250323" w:rsidRPr="00250323">
              <w:rPr>
                <w:noProof/>
                <w:lang w:eastAsia="fr-FR"/>
              </w:rPr>
              <w:t>tre important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412A5A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</w:t>
            </w:r>
            <w:r w:rsidR="00250323" w:rsidRPr="00250323">
              <w:rPr>
                <w:noProof/>
                <w:lang w:eastAsia="fr-FR"/>
              </w:rPr>
              <w:t xml:space="preserve">oursuivre </w:t>
            </w:r>
            <w:r w:rsidR="006B4132">
              <w:rPr>
                <w:noProof/>
                <w:lang w:eastAsia="fr-FR"/>
              </w:rPr>
              <w:t>l'agitati</w:t>
            </w:r>
            <w:r w:rsidR="00B3444A">
              <w:rPr>
                <w:noProof/>
                <w:lang w:eastAsia="fr-FR"/>
              </w:rPr>
              <w:t>o</w:t>
            </w:r>
            <w:r w:rsidR="006B4132">
              <w:rPr>
                <w:noProof/>
                <w:lang w:eastAsia="fr-FR"/>
              </w:rPr>
              <w:t xml:space="preserve">n </w:t>
            </w:r>
            <w:r w:rsidR="00250323" w:rsidRPr="00250323">
              <w:rPr>
                <w:noProof/>
                <w:lang w:eastAsia="fr-FR"/>
              </w:rPr>
              <w:t xml:space="preserve"> jusqu</w:t>
            </w:r>
            <w:r w:rsidR="00250323" w:rsidRPr="00250323">
              <w:rPr>
                <w:rFonts w:hint="eastAsia"/>
                <w:noProof/>
                <w:lang w:eastAsia="fr-FR"/>
              </w:rPr>
              <w:t>’à</w:t>
            </w:r>
            <w:r w:rsidR="00250323" w:rsidRPr="00250323">
              <w:rPr>
                <w:noProof/>
                <w:lang w:eastAsia="fr-FR"/>
              </w:rPr>
              <w:t xml:space="preserve"> ce qu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il n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y ait plus de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gagement gazeux puis laisser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canter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412A5A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é</w:t>
            </w:r>
            <w:r w:rsidR="006B4132">
              <w:rPr>
                <w:noProof/>
                <w:lang w:eastAsia="fr-FR"/>
              </w:rPr>
              <w:t>liminer la phase aqueuse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412A5A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</w:t>
            </w:r>
            <w:r w:rsidR="00250323" w:rsidRPr="00250323">
              <w:rPr>
                <w:noProof/>
                <w:lang w:eastAsia="fr-FR"/>
              </w:rPr>
              <w:t xml:space="preserve">aver </w:t>
            </w:r>
            <w:r w:rsidR="006B4132">
              <w:rPr>
                <w:noProof/>
                <w:lang w:eastAsia="fr-FR"/>
              </w:rPr>
              <w:t xml:space="preserve">à nouveau </w:t>
            </w:r>
            <w:r w:rsidR="00250323" w:rsidRPr="00250323">
              <w:rPr>
                <w:noProof/>
                <w:lang w:eastAsia="fr-FR"/>
              </w:rPr>
              <w:t>la phase organique avec 20 mL d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eau distill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e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412A5A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cup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 xml:space="preserve">rer la phase organique dans un erlenmeyer </w:t>
            </w:r>
            <w:r w:rsidR="006B4132">
              <w:rPr>
                <w:noProof/>
                <w:lang w:eastAsia="fr-FR"/>
              </w:rPr>
              <w:t>adapté</w:t>
            </w:r>
            <w:r w:rsidR="00250323" w:rsidRPr="00250323">
              <w:rPr>
                <w:noProof/>
                <w:lang w:eastAsia="fr-FR"/>
              </w:rPr>
              <w:t>.</w:t>
            </w:r>
          </w:p>
          <w:p w:rsidR="00250323" w:rsidRDefault="00250323" w:rsidP="00250323">
            <w:pPr>
              <w:rPr>
                <w:noProof/>
                <w:lang w:eastAsia="fr-FR"/>
              </w:rPr>
            </w:pPr>
          </w:p>
          <w:p w:rsidR="006B4132" w:rsidRPr="006B4132" w:rsidRDefault="006B4132" w:rsidP="006B4132">
            <w:pPr>
              <w:rPr>
                <w:b/>
                <w:noProof/>
                <w:lang w:eastAsia="fr-FR"/>
              </w:rPr>
            </w:pPr>
            <w:r w:rsidRPr="006B4132">
              <w:rPr>
                <w:b/>
                <w:noProof/>
                <w:lang w:eastAsia="fr-FR"/>
              </w:rPr>
              <w:t>Séchage de la phase organique :</w:t>
            </w:r>
          </w:p>
          <w:p w:rsidR="006B4132" w:rsidRPr="006B4132" w:rsidRDefault="00412A5A" w:rsidP="006B4132">
            <w:pPr>
              <w:numPr>
                <w:ilvl w:val="0"/>
                <w:numId w:val="1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</w:t>
            </w:r>
            <w:r w:rsidR="006B4132" w:rsidRPr="006B4132">
              <w:rPr>
                <w:noProof/>
                <w:lang w:eastAsia="fr-FR"/>
              </w:rPr>
              <w:t>écher la phase organique sur sulfate de magnesium anhydre</w:t>
            </w:r>
            <w:r>
              <w:rPr>
                <w:noProof/>
                <w:lang w:eastAsia="fr-FR"/>
              </w:rPr>
              <w:t> ;</w:t>
            </w:r>
          </w:p>
          <w:p w:rsidR="00250323" w:rsidRDefault="00412A5A" w:rsidP="00412A5A">
            <w:pPr>
              <w:numPr>
                <w:ilvl w:val="0"/>
                <w:numId w:val="17"/>
              </w:numPr>
            </w:pPr>
            <w:r>
              <w:rPr>
                <w:noProof/>
                <w:lang w:eastAsia="fr-FR"/>
              </w:rPr>
              <w:t>f</w:t>
            </w:r>
            <w:r w:rsidR="006B4132" w:rsidRPr="006B4132">
              <w:rPr>
                <w:noProof/>
                <w:lang w:eastAsia="fr-FR"/>
              </w:rPr>
              <w:t>iltrer dans un flacon propre.</w:t>
            </w:r>
          </w:p>
        </w:tc>
      </w:tr>
    </w:tbl>
    <w:p w:rsidR="007D23A8" w:rsidRDefault="007D23A8" w:rsidP="007D2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85B6C" w:rsidRPr="00B85B6C" w:rsidTr="007E50F9">
        <w:trPr>
          <w:trHeight w:val="397"/>
        </w:trPr>
        <w:tc>
          <w:tcPr>
            <w:tcW w:w="10456" w:type="dxa"/>
            <w:shd w:val="clear" w:color="auto" w:fill="F2F2F2"/>
            <w:vAlign w:val="center"/>
          </w:tcPr>
          <w:p w:rsidR="00B85B6C" w:rsidRPr="007E50F9" w:rsidRDefault="00B85B6C" w:rsidP="007E50F9">
            <w:pPr>
              <w:jc w:val="center"/>
              <w:rPr>
                <w:color w:val="auto"/>
                <w:lang w:eastAsia="fr-FR"/>
              </w:rPr>
            </w:pPr>
            <w:r w:rsidRPr="007E50F9">
              <w:rPr>
                <w:b/>
                <w:color w:val="auto"/>
                <w:lang w:eastAsia="fr-FR"/>
              </w:rPr>
              <w:t>Document 6 : chromatographie sur couche mince</w:t>
            </w:r>
          </w:p>
        </w:tc>
      </w:tr>
      <w:tr w:rsidR="00B85B6C" w:rsidRPr="00B85B6C" w:rsidTr="007E50F9">
        <w:tc>
          <w:tcPr>
            <w:tcW w:w="10456" w:type="dxa"/>
            <w:shd w:val="clear" w:color="auto" w:fill="auto"/>
          </w:tcPr>
          <w:p w:rsidR="00B85B6C" w:rsidRPr="007E50F9" w:rsidRDefault="00B85B6C" w:rsidP="00B85B6C">
            <w:pPr>
              <w:rPr>
                <w:b/>
                <w:color w:val="auto"/>
                <w:u w:val="single"/>
                <w:lang w:eastAsia="fr-FR"/>
              </w:rPr>
            </w:pPr>
            <w:r w:rsidRPr="007E50F9">
              <w:rPr>
                <w:b/>
                <w:color w:val="auto"/>
                <w:u w:val="single"/>
                <w:lang w:eastAsia="fr-FR"/>
              </w:rPr>
              <w:t xml:space="preserve">Principe : </w:t>
            </w:r>
          </w:p>
          <w:p w:rsidR="00B85B6C" w:rsidRPr="006B7C0F" w:rsidRDefault="00B85B6C" w:rsidP="00B85B6C">
            <w:pPr>
              <w:rPr>
                <w:color w:val="auto"/>
                <w:lang w:eastAsia="fr-FR"/>
              </w:rPr>
            </w:pPr>
            <w:r w:rsidRPr="007E50F9">
              <w:rPr>
                <w:color w:val="auto"/>
                <w:lang w:eastAsia="fr-FR"/>
              </w:rPr>
              <w:t xml:space="preserve">La chromatographie sur </w:t>
            </w:r>
            <w:r w:rsidRPr="006B7C0F">
              <w:rPr>
                <w:color w:val="auto"/>
                <w:lang w:eastAsia="fr-FR"/>
              </w:rPr>
              <w:t>couche mince est une technique qui permet de séparer les constituants d’un mélange homogène. Elle est utilisée à des fins d'identification de ces co</w:t>
            </w:r>
            <w:r w:rsidR="00412A5A" w:rsidRPr="006B7C0F">
              <w:rPr>
                <w:color w:val="auto"/>
                <w:lang w:eastAsia="fr-FR"/>
              </w:rPr>
              <w:t xml:space="preserve">nstituants </w:t>
            </w:r>
            <w:r w:rsidRPr="006B7C0F">
              <w:rPr>
                <w:color w:val="auto"/>
                <w:lang w:eastAsia="fr-FR"/>
              </w:rPr>
              <w:t>par comparaison à une référence ou pour vérifier de la pureté d'une substance. Si les espèces à analyser ne sont</w:t>
            </w:r>
            <w:r w:rsidR="00DC00F0" w:rsidRPr="006B7C0F">
              <w:rPr>
                <w:color w:val="auto"/>
                <w:lang w:eastAsia="fr-FR"/>
              </w:rPr>
              <w:t xml:space="preserve"> pas</w:t>
            </w:r>
            <w:r w:rsidRPr="006B7C0F">
              <w:rPr>
                <w:color w:val="auto"/>
                <w:lang w:eastAsia="fr-FR"/>
              </w:rPr>
              <w:t xml:space="preserve"> visibles, il </w:t>
            </w:r>
            <w:r w:rsidR="00C9232C" w:rsidRPr="006B7C0F">
              <w:rPr>
                <w:color w:val="auto"/>
                <w:lang w:eastAsia="fr-FR"/>
              </w:rPr>
              <w:t>est</w:t>
            </w:r>
            <w:r w:rsidRPr="006B7C0F">
              <w:rPr>
                <w:color w:val="auto"/>
                <w:lang w:eastAsia="fr-FR"/>
              </w:rPr>
              <w:t xml:space="preserve"> nécessaire de procéder à une étape de révélation.</w:t>
            </w:r>
          </w:p>
          <w:p w:rsidR="00B85B6C" w:rsidRPr="006B7C0F" w:rsidRDefault="00B85B6C" w:rsidP="00B85B6C">
            <w:pPr>
              <w:rPr>
                <w:bCs/>
                <w:color w:val="auto"/>
                <w:lang w:eastAsia="fr-FR"/>
              </w:rPr>
            </w:pPr>
            <w:r w:rsidRPr="006B7C0F">
              <w:rPr>
                <w:color w:val="auto"/>
                <w:lang w:eastAsia="fr-FR"/>
              </w:rPr>
              <w:t xml:space="preserve">La plaque à chromatographie est déposée dans une cuve à élution, contenant un </w:t>
            </w:r>
            <w:r w:rsidRPr="006B7C0F">
              <w:rPr>
                <w:b/>
                <w:bCs/>
                <w:color w:val="auto"/>
                <w:lang w:eastAsia="fr-FR"/>
              </w:rPr>
              <w:t xml:space="preserve">éluant. </w:t>
            </w:r>
            <w:r w:rsidRPr="006B7C0F">
              <w:rPr>
                <w:bCs/>
                <w:color w:val="auto"/>
                <w:lang w:eastAsia="fr-FR"/>
              </w:rPr>
              <w:t xml:space="preserve">Lors de l'élution, ce dernier monte le long de la plaque et entraine les différents </w:t>
            </w:r>
            <w:r w:rsidR="00412A5A" w:rsidRPr="006B7C0F">
              <w:rPr>
                <w:bCs/>
                <w:color w:val="auto"/>
                <w:lang w:eastAsia="fr-FR"/>
              </w:rPr>
              <w:t xml:space="preserve">constituants, </w:t>
            </w:r>
            <w:r w:rsidRPr="006B7C0F">
              <w:rPr>
                <w:bCs/>
                <w:color w:val="auto"/>
                <w:lang w:eastAsia="fr-FR"/>
              </w:rPr>
              <w:t>chacun à une vitesse qui lui est propre, qui dépend de sa nature et de celle de l'éluant.</w:t>
            </w:r>
          </w:p>
          <w:p w:rsidR="00B85B6C" w:rsidRPr="006B7C0F" w:rsidRDefault="004C6AB0" w:rsidP="00B85B6C">
            <w:pPr>
              <w:rPr>
                <w:color w:val="auto"/>
                <w:lang w:eastAsia="fr-FR"/>
              </w:rPr>
            </w:pPr>
            <w:r w:rsidRPr="006B7C0F"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4568190</wp:posOffset>
                  </wp:positionH>
                  <wp:positionV relativeFrom="margin">
                    <wp:posOffset>942340</wp:posOffset>
                  </wp:positionV>
                  <wp:extent cx="1609725" cy="1163320"/>
                  <wp:effectExtent l="0" t="0" r="0" b="0"/>
                  <wp:wrapSquare wrapText="bothSides"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32C" w:rsidRPr="006B7C0F">
              <w:rPr>
                <w:bCs/>
                <w:color w:val="auto"/>
                <w:lang w:eastAsia="fr-FR"/>
              </w:rPr>
              <w:t xml:space="preserve">En fin d'analyse, sur la plaque, les </w:t>
            </w:r>
            <w:r w:rsidR="00412A5A" w:rsidRPr="006B7C0F">
              <w:rPr>
                <w:bCs/>
                <w:color w:val="auto"/>
                <w:lang w:eastAsia="fr-FR"/>
              </w:rPr>
              <w:t xml:space="preserve">constituants </w:t>
            </w:r>
            <w:r w:rsidR="00C9232C" w:rsidRPr="006B7C0F">
              <w:rPr>
                <w:bCs/>
                <w:color w:val="auto"/>
                <w:lang w:eastAsia="fr-FR"/>
              </w:rPr>
              <w:t xml:space="preserve">qui seront en haut de la plaque auront été peu retenus par la plaque de silice et bien entrainés par l'éluant (bonne affinité) et inversement. </w:t>
            </w:r>
            <w:r w:rsidR="00B85B6C" w:rsidRPr="006B7C0F">
              <w:rPr>
                <w:color w:val="auto"/>
                <w:lang w:eastAsia="fr-FR"/>
              </w:rPr>
              <w:t>Le résultat obtenu s’appelle le chromatogramme.</w:t>
            </w:r>
          </w:p>
          <w:p w:rsidR="00C9232C" w:rsidRPr="006B7C0F" w:rsidRDefault="00C9232C" w:rsidP="00B85B6C">
            <w:pPr>
              <w:rPr>
                <w:b/>
                <w:color w:val="auto"/>
                <w:u w:val="single"/>
                <w:lang w:eastAsia="fr-FR"/>
              </w:rPr>
            </w:pPr>
          </w:p>
          <w:p w:rsidR="00C9232C" w:rsidRPr="006B7C0F" w:rsidRDefault="00C9232C" w:rsidP="00B85B6C">
            <w:pPr>
              <w:rPr>
                <w:b/>
                <w:color w:val="auto"/>
                <w:u w:val="single"/>
                <w:lang w:eastAsia="fr-FR"/>
              </w:rPr>
            </w:pPr>
          </w:p>
          <w:p w:rsidR="00B85B6C" w:rsidRPr="006B7C0F" w:rsidRDefault="00B85B6C" w:rsidP="00B85B6C">
            <w:pPr>
              <w:rPr>
                <w:b/>
                <w:color w:val="auto"/>
                <w:u w:val="single"/>
                <w:lang w:eastAsia="fr-FR"/>
              </w:rPr>
            </w:pPr>
            <w:r w:rsidRPr="006B7C0F">
              <w:rPr>
                <w:b/>
                <w:color w:val="auto"/>
                <w:u w:val="single"/>
                <w:lang w:eastAsia="fr-FR"/>
              </w:rPr>
              <w:t xml:space="preserve">Exploitation : </w:t>
            </w:r>
          </w:p>
          <w:p w:rsidR="00B85B6C" w:rsidRPr="006B7C0F" w:rsidRDefault="00B85B6C" w:rsidP="007E50F9">
            <w:pPr>
              <w:widowControl w:val="0"/>
              <w:numPr>
                <w:ilvl w:val="0"/>
                <w:numId w:val="21"/>
              </w:numPr>
              <w:suppressAutoHyphens/>
              <w:spacing w:after="120"/>
              <w:ind w:left="453"/>
              <w:jc w:val="left"/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</w:pPr>
            <w:r w:rsidRPr="006B7C0F">
              <w:rPr>
                <w:rFonts w:eastAsia="SimSun" w:cs="Mangal"/>
                <w:iCs/>
                <w:color w:val="auto"/>
                <w:kern w:val="1"/>
                <w:u w:val="single"/>
                <w:lang w:eastAsia="hi-IN" w:bidi="hi-IN"/>
              </w:rPr>
              <w:t>Lecture verticale :</w:t>
            </w:r>
            <w:r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 lorsqu’un dépôt </w:t>
            </w:r>
            <w:r w:rsidR="00016FBC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d'échantillon </w:t>
            </w:r>
            <w:r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se sépare en plusieurs taches, </w:t>
            </w:r>
            <w:r w:rsidR="00016FBC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>alors cet échantillon e</w:t>
            </w:r>
            <w:r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>st un mélange.</w:t>
            </w:r>
          </w:p>
          <w:p w:rsidR="00B85B6C" w:rsidRPr="006B7C0F" w:rsidRDefault="00B85B6C" w:rsidP="007E50F9">
            <w:pPr>
              <w:widowControl w:val="0"/>
              <w:numPr>
                <w:ilvl w:val="0"/>
                <w:numId w:val="21"/>
              </w:numPr>
              <w:suppressAutoHyphens/>
              <w:spacing w:after="120"/>
              <w:ind w:left="453"/>
              <w:jc w:val="left"/>
              <w:rPr>
                <w:rFonts w:eastAsia="SimSun" w:cs="Mangal"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6B7C0F">
              <w:rPr>
                <w:rFonts w:eastAsia="SimSun" w:cs="Mangal"/>
                <w:iCs/>
                <w:color w:val="auto"/>
                <w:kern w:val="1"/>
                <w:u w:val="single"/>
                <w:lang w:eastAsia="hi-IN" w:bidi="hi-IN"/>
              </w:rPr>
              <w:t>Lecture horizontale :</w:t>
            </w:r>
            <w:r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 sur une même plaque, un même </w:t>
            </w:r>
            <w:r w:rsidR="00412A5A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constituant (Ou </w:t>
            </w:r>
            <w:r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>espèce chimique</w:t>
            </w:r>
            <w:r w:rsidR="00412A5A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>)</w:t>
            </w:r>
            <w:r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 présent</w:t>
            </w:r>
            <w:r w:rsidR="00016FBC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 dans</w:t>
            </w:r>
            <w:r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 des dépôts différents migre à la même hauteur.</w:t>
            </w:r>
            <w:r w:rsidR="00016FBC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 Seule la comparaison à une référence permet d'en déduire la nature d</w:t>
            </w:r>
            <w:r w:rsidR="00412A5A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u constituant ou </w:t>
            </w:r>
            <w:r w:rsidR="00016FBC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>espèce</w:t>
            </w:r>
            <w:r w:rsidR="00412A5A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 xml:space="preserve"> chimique</w:t>
            </w:r>
            <w:r w:rsidR="00016FBC" w:rsidRPr="006B7C0F">
              <w:rPr>
                <w:rFonts w:eastAsia="SimSun" w:cs="Mangal"/>
                <w:iCs/>
                <w:color w:val="auto"/>
                <w:kern w:val="1"/>
                <w:lang w:eastAsia="hi-IN" w:bidi="hi-IN"/>
              </w:rPr>
              <w:t>.</w:t>
            </w:r>
            <w:r w:rsidRPr="006B7C0F">
              <w:rPr>
                <w:rFonts w:eastAsia="SimSun" w:cs="Mangal"/>
                <w:iCs/>
                <w:noProof/>
                <w:color w:val="auto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C75995" w:rsidRDefault="00E940AE" w:rsidP="00C75995">
            <w:pPr>
              <w:widowControl w:val="0"/>
              <w:suppressAutoHyphens/>
              <w:spacing w:after="120"/>
              <w:jc w:val="left"/>
            </w:pPr>
            <w:r w:rsidRPr="006B7C0F">
              <w:rPr>
                <w:rFonts w:eastAsia="SimSun" w:cs="Mangal"/>
                <w:iCs/>
                <w:color w:val="auto"/>
                <w:kern w:val="1"/>
                <w:szCs w:val="20"/>
                <w:lang w:eastAsia="hi-IN" w:bidi="hi-IN"/>
              </w:rPr>
              <w:t xml:space="preserve">Expérience </w:t>
            </w:r>
            <w:r w:rsidRPr="006B7C0F">
              <w:rPr>
                <w:rFonts w:eastAsia="SimSun" w:cs="Mangal"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:  </w:t>
            </w:r>
            <w:hyperlink r:id="rId28" w:history="1">
              <w:r w:rsidR="00C75995" w:rsidRPr="006B7C0F">
                <w:rPr>
                  <w:rStyle w:val="Lienhypertexte"/>
                  <w:sz w:val="20"/>
                </w:rPr>
                <w:t>https://www.youtube.com/watch?v=IueJCgpbqoY</w:t>
              </w:r>
            </w:hyperlink>
          </w:p>
          <w:p w:rsidR="00FB1A8D" w:rsidRDefault="00FB1A8D" w:rsidP="00C75995">
            <w:pPr>
              <w:widowControl w:val="0"/>
              <w:suppressAutoHyphens/>
              <w:spacing w:after="120"/>
              <w:jc w:val="left"/>
            </w:pPr>
          </w:p>
          <w:p w:rsidR="00A50185" w:rsidRDefault="00A50185" w:rsidP="00C75995">
            <w:pPr>
              <w:widowControl w:val="0"/>
              <w:suppressAutoHyphens/>
              <w:spacing w:after="120"/>
              <w:jc w:val="left"/>
            </w:pPr>
          </w:p>
          <w:p w:rsidR="00A50185" w:rsidRDefault="00A50185" w:rsidP="00C75995">
            <w:pPr>
              <w:widowControl w:val="0"/>
              <w:suppressAutoHyphens/>
              <w:spacing w:after="120"/>
              <w:jc w:val="left"/>
            </w:pPr>
          </w:p>
          <w:p w:rsidR="00144E52" w:rsidRDefault="00144E52" w:rsidP="00C75995">
            <w:pPr>
              <w:widowControl w:val="0"/>
              <w:suppressAutoHyphens/>
              <w:spacing w:after="120"/>
              <w:jc w:val="left"/>
              <w:rPr>
                <w:b/>
              </w:rPr>
            </w:pPr>
            <w:r w:rsidRPr="00DC00F0">
              <w:rPr>
                <w:b/>
              </w:rPr>
              <w:t xml:space="preserve">Résultat obtenu </w:t>
            </w:r>
            <w:r w:rsidR="006E1D0E">
              <w:rPr>
                <w:b/>
              </w:rPr>
              <w:t xml:space="preserve">suite à </w:t>
            </w:r>
            <w:r w:rsidR="006E1D0E" w:rsidRPr="00FB1A8D">
              <w:rPr>
                <w:b/>
                <w:color w:val="auto"/>
              </w:rPr>
              <w:t>l'</w:t>
            </w:r>
            <w:proofErr w:type="spellStart"/>
            <w:r w:rsidR="006E1D0E" w:rsidRPr="00FB1A8D">
              <w:rPr>
                <w:b/>
                <w:color w:val="auto"/>
              </w:rPr>
              <w:t>hydrodi</w:t>
            </w:r>
            <w:r w:rsidR="002F0728" w:rsidRPr="00FB1A8D">
              <w:rPr>
                <w:b/>
                <w:color w:val="auto"/>
              </w:rPr>
              <w:t>s</w:t>
            </w:r>
            <w:r w:rsidR="006E1D0E" w:rsidRPr="00FB1A8D">
              <w:rPr>
                <w:b/>
                <w:color w:val="auto"/>
              </w:rPr>
              <w:t>tillation</w:t>
            </w:r>
            <w:proofErr w:type="spellEnd"/>
            <w:r w:rsidR="006E1D0E">
              <w:rPr>
                <w:b/>
              </w:rPr>
              <w:t xml:space="preserve"> </w:t>
            </w:r>
            <w:r w:rsidRPr="00DC00F0">
              <w:rPr>
                <w:b/>
              </w:rPr>
              <w:t xml:space="preserve">: </w:t>
            </w:r>
          </w:p>
          <w:p w:rsidR="00A50185" w:rsidRPr="00DC00F0" w:rsidRDefault="00A50185" w:rsidP="00C75995">
            <w:pPr>
              <w:widowControl w:val="0"/>
              <w:suppressAutoHyphens/>
              <w:spacing w:after="120"/>
              <w:jc w:val="left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29"/>
              <w:gridCol w:w="5177"/>
            </w:tblGrid>
            <w:tr w:rsidR="00E940AE" w:rsidTr="00A27C55">
              <w:tc>
                <w:tcPr>
                  <w:tcW w:w="4253" w:type="dxa"/>
                  <w:shd w:val="clear" w:color="auto" w:fill="auto"/>
                </w:tcPr>
                <w:p w:rsidR="00E940AE" w:rsidRPr="006B7C0F" w:rsidRDefault="004C6AB0" w:rsidP="00A27C55">
                  <w:pPr>
                    <w:widowControl w:val="0"/>
                    <w:suppressAutoHyphens/>
                    <w:spacing w:after="120"/>
                    <w:jc w:val="center"/>
                  </w:pPr>
                  <w:r w:rsidRPr="006B7C0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6000" cy="3049905"/>
                        <wp:effectExtent l="0" t="0" r="0" b="0"/>
                        <wp:docPr id="15" name="Image 15" descr="CCM linal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CM linal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04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64" w:type="dxa"/>
                  <w:shd w:val="clear" w:color="auto" w:fill="auto"/>
                </w:tcPr>
                <w:p w:rsidR="00E940AE" w:rsidRPr="006B7C0F" w:rsidRDefault="00E940AE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rPr>
                      <w:b/>
                      <w:i/>
                    </w:rPr>
                    <w:t>Eluant</w:t>
                  </w:r>
                  <w:r w:rsidRPr="006B7C0F">
                    <w:t xml:space="preserve"> : Cyclohexane / Dichlorométhane (1/1 : </w:t>
                  </w:r>
                  <w:r w:rsidRPr="006B7C0F">
                    <w:rPr>
                      <w:i/>
                    </w:rPr>
                    <w:t>V</w:t>
                  </w:r>
                  <w:r w:rsidRPr="006B7C0F">
                    <w:t>/</w:t>
                  </w:r>
                  <w:r w:rsidRPr="006B7C0F">
                    <w:rPr>
                      <w:i/>
                    </w:rPr>
                    <w:t>V</w:t>
                  </w:r>
                  <w:r w:rsidRPr="006B7C0F">
                    <w:t>)</w:t>
                  </w:r>
                </w:p>
                <w:p w:rsidR="00E940AE" w:rsidRPr="006B7C0F" w:rsidRDefault="00E940AE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t>Plaque de Silice</w:t>
                  </w:r>
                </w:p>
                <w:p w:rsidR="00E940AE" w:rsidRPr="006B7C0F" w:rsidRDefault="00E940AE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t>Révélation au permanganate de potassium</w:t>
                  </w:r>
                </w:p>
                <w:p w:rsidR="00E940AE" w:rsidRPr="006B7C0F" w:rsidRDefault="00B45FA9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rPr>
                      <w:b/>
                      <w:i/>
                      <w:color w:val="auto"/>
                    </w:rPr>
                    <w:t>Dépôts</w:t>
                  </w:r>
                  <w:r w:rsidR="00E940AE" w:rsidRPr="006B7C0F">
                    <w:t xml:space="preserve"> (dilués à env. 1% dans le cyclohexane) : </w:t>
                  </w:r>
                </w:p>
                <w:p w:rsidR="00E940AE" w:rsidRPr="006B7C0F" w:rsidRDefault="00E940AE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t xml:space="preserve">1- Huile obtenue par </w:t>
                  </w:r>
                  <w:proofErr w:type="spellStart"/>
                  <w:r w:rsidRPr="006B7C0F">
                    <w:t>hydrodistillation</w:t>
                  </w:r>
                  <w:proofErr w:type="spellEnd"/>
                </w:p>
                <w:p w:rsidR="00E940AE" w:rsidRPr="006B7C0F" w:rsidRDefault="00E940AE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t>2- Huile essentielle commerciale</w:t>
                  </w:r>
                </w:p>
                <w:p w:rsidR="00E940AE" w:rsidRPr="006B7C0F" w:rsidRDefault="00E940AE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t xml:space="preserve">3-  </w:t>
                  </w:r>
                  <w:proofErr w:type="spellStart"/>
                  <w:r w:rsidRPr="006B7C0F">
                    <w:t>Linalol</w:t>
                  </w:r>
                  <w:proofErr w:type="spellEnd"/>
                  <w:r w:rsidRPr="006B7C0F">
                    <w:t xml:space="preserve"> commercial</w:t>
                  </w:r>
                </w:p>
                <w:p w:rsidR="00E940AE" w:rsidRPr="006B7C0F" w:rsidRDefault="00E940AE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t xml:space="preserve">4 - Acétate de </w:t>
                  </w:r>
                  <w:proofErr w:type="spellStart"/>
                  <w:r w:rsidRPr="006B7C0F">
                    <w:t>linalyle</w:t>
                  </w:r>
                  <w:proofErr w:type="spellEnd"/>
                  <w:r w:rsidRPr="006B7C0F">
                    <w:t xml:space="preserve"> commercial</w:t>
                  </w:r>
                </w:p>
                <w:p w:rsidR="00412A5A" w:rsidRPr="006B7C0F" w:rsidRDefault="00412A5A" w:rsidP="00A27C55">
                  <w:pPr>
                    <w:widowControl w:val="0"/>
                    <w:suppressAutoHyphens/>
                    <w:spacing w:after="120"/>
                    <w:jc w:val="left"/>
                  </w:pPr>
                  <w:r w:rsidRPr="006B7C0F">
                    <w:t>L’ordre des dépôts se lit de la gauche vers la droite.</w:t>
                  </w:r>
                </w:p>
                <w:p w:rsidR="00412A5A" w:rsidRPr="006B7C0F" w:rsidRDefault="00412A5A" w:rsidP="00A27C55">
                  <w:pPr>
                    <w:widowControl w:val="0"/>
                    <w:suppressAutoHyphens/>
                    <w:spacing w:after="120"/>
                    <w:jc w:val="left"/>
                  </w:pPr>
                </w:p>
              </w:tc>
            </w:tr>
          </w:tbl>
          <w:p w:rsidR="00E940AE" w:rsidRDefault="00E940AE" w:rsidP="00C75995">
            <w:pPr>
              <w:widowControl w:val="0"/>
              <w:suppressAutoHyphens/>
              <w:spacing w:after="120"/>
              <w:jc w:val="left"/>
            </w:pPr>
            <w:r>
              <w:t xml:space="preserve">Source : </w:t>
            </w:r>
            <w:hyperlink r:id="rId30" w:history="1">
              <w:r w:rsidRPr="006352FD">
                <w:rPr>
                  <w:rStyle w:val="Lienhypertexte"/>
                  <w:sz w:val="20"/>
                </w:rPr>
                <w:t>http://aromatherapie-lavande.over-blog.com/article-5873366.html</w:t>
              </w:r>
            </w:hyperlink>
          </w:p>
          <w:p w:rsidR="00E940AE" w:rsidRPr="007E50F9" w:rsidRDefault="00E940AE" w:rsidP="00C75995">
            <w:pPr>
              <w:widowControl w:val="0"/>
              <w:suppressAutoHyphens/>
              <w:spacing w:after="120"/>
              <w:jc w:val="left"/>
              <w:rPr>
                <w:rFonts w:eastAsia="SimSun" w:cs="Mangal"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B58AE" w:rsidRDefault="004B58AE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9D3982" w:rsidRDefault="009D3982" w:rsidP="004B58AE"/>
    <w:p w:rsidR="004B58AE" w:rsidRDefault="004B58AE" w:rsidP="004B58AE">
      <w:pPr>
        <w:pStyle w:val="Titre2"/>
        <w:rPr>
          <w:color w:val="2E74B5"/>
        </w:rPr>
      </w:pPr>
      <w:r w:rsidRPr="00294DD1">
        <w:rPr>
          <w:color w:val="2E74B5"/>
        </w:rPr>
        <w:t>Consignes pour la tâche n°1.</w:t>
      </w:r>
    </w:p>
    <w:p w:rsidR="004B58AE" w:rsidRPr="00FB1A8D" w:rsidRDefault="004B58AE" w:rsidP="004B58AE">
      <w:pPr>
        <w:rPr>
          <w:color w:val="auto"/>
        </w:rPr>
      </w:pPr>
      <w:r w:rsidRPr="00FB1A8D">
        <w:rPr>
          <w:color w:val="auto"/>
        </w:rPr>
        <w:t>Effectuer une recherche pour répondre aux questions proposées ci-dessous.</w:t>
      </w:r>
    </w:p>
    <w:p w:rsidR="004B58AE" w:rsidRPr="00FB1A8D" w:rsidRDefault="004B58AE" w:rsidP="004B58AE">
      <w:pPr>
        <w:numPr>
          <w:ilvl w:val="0"/>
          <w:numId w:val="22"/>
        </w:numPr>
        <w:rPr>
          <w:iCs/>
          <w:color w:val="auto"/>
        </w:rPr>
      </w:pPr>
      <w:r w:rsidRPr="00FB1A8D">
        <w:rPr>
          <w:iCs/>
          <w:color w:val="auto"/>
        </w:rPr>
        <w:t xml:space="preserve">Quels sont les différents modes d'extractions des huiles essentielles existants ? </w:t>
      </w:r>
    </w:p>
    <w:p w:rsidR="004B58AE" w:rsidRPr="00FB1A8D" w:rsidRDefault="004B58AE" w:rsidP="004B58AE">
      <w:pPr>
        <w:numPr>
          <w:ilvl w:val="0"/>
          <w:numId w:val="22"/>
        </w:numPr>
        <w:rPr>
          <w:iCs/>
          <w:color w:val="auto"/>
        </w:rPr>
      </w:pPr>
      <w:r w:rsidRPr="00FB1A8D">
        <w:rPr>
          <w:iCs/>
          <w:color w:val="auto"/>
        </w:rPr>
        <w:t>Présenter les différences entre extrait naturel, arôme naturel et arôme artificiel. On peut construire une carte conceptuelle.</w:t>
      </w:r>
    </w:p>
    <w:p w:rsidR="004B58AE" w:rsidRPr="00FB1A8D" w:rsidRDefault="004B58AE" w:rsidP="004B58AE">
      <w:pPr>
        <w:rPr>
          <w:iCs/>
          <w:color w:val="auto"/>
        </w:rPr>
      </w:pPr>
      <w:r w:rsidRPr="00FB1A8D">
        <w:rPr>
          <w:iCs/>
          <w:color w:val="auto"/>
        </w:rPr>
        <w:t>La lecture des documents 1 et XX peut aider pour orienter les recherches.</w:t>
      </w:r>
    </w:p>
    <w:p w:rsidR="004B58AE" w:rsidRDefault="004B58AE" w:rsidP="004B58AE">
      <w:pPr>
        <w:rPr>
          <w:iCs/>
        </w:rPr>
      </w:pPr>
    </w:p>
    <w:p w:rsidR="00FB1A8D" w:rsidRDefault="00FB1A8D" w:rsidP="00FB1A8D"/>
    <w:p w:rsidR="000F1837" w:rsidRPr="004B58AE" w:rsidRDefault="000F1837" w:rsidP="00F06A01">
      <w:pPr>
        <w:pStyle w:val="Titre2"/>
        <w:rPr>
          <w:color w:val="2E74B5"/>
        </w:rPr>
      </w:pPr>
      <w:r w:rsidRPr="004B58AE">
        <w:rPr>
          <w:color w:val="2E74B5"/>
        </w:rPr>
        <w:t>Consignes pour la tâche n°2.</w:t>
      </w:r>
    </w:p>
    <w:p w:rsidR="00F03D63" w:rsidRDefault="006352FD" w:rsidP="00F03D63">
      <w:r>
        <w:t>Après avoir v</w:t>
      </w:r>
      <w:r w:rsidR="00F03D63">
        <w:t>isionn</w:t>
      </w:r>
      <w:r>
        <w:t>é</w:t>
      </w:r>
      <w:r w:rsidR="00F03D63">
        <w:t xml:space="preserve"> la vidéo dont le lien est proposé dans le document 4</w:t>
      </w:r>
      <w:r>
        <w:t xml:space="preserve">, s’approprier des </w:t>
      </w:r>
      <w:r w:rsidR="00F03D63">
        <w:t xml:space="preserve">documents 2 (Partie A), 3 et 4 </w:t>
      </w:r>
      <w:r>
        <w:t xml:space="preserve">pour </w:t>
      </w:r>
      <w:r w:rsidR="00F03D63">
        <w:t xml:space="preserve">proposer un protocole qui pourrait être utilisé par un élève de seconde permettant de reproduire la </w:t>
      </w:r>
      <w:r w:rsidR="00FB1A8D">
        <w:t>manipulation</w:t>
      </w:r>
      <w:r w:rsidR="00F03D63">
        <w:t xml:space="preserve">. </w:t>
      </w:r>
      <w:r w:rsidR="00DC00F0">
        <w:t>Il faut</w:t>
      </w:r>
      <w:r w:rsidR="00F03D63">
        <w:t xml:space="preserve"> donc rédiger </w:t>
      </w:r>
      <w:r w:rsidR="00F03D63" w:rsidRPr="006352FD">
        <w:rPr>
          <w:b/>
        </w:rPr>
        <w:t xml:space="preserve">une fiche </w:t>
      </w:r>
      <w:r w:rsidR="000F1837" w:rsidRPr="006352FD">
        <w:rPr>
          <w:b/>
        </w:rPr>
        <w:t>descriptive</w:t>
      </w:r>
      <w:r w:rsidR="000F1837">
        <w:t xml:space="preserve"> </w:t>
      </w:r>
      <w:r w:rsidR="00F03D63">
        <w:t xml:space="preserve">dans laquelle apparaitront : </w:t>
      </w:r>
    </w:p>
    <w:p w:rsidR="00F03D63" w:rsidRDefault="00F03D63" w:rsidP="00F03D63">
      <w:r>
        <w:t>- la présentation de la technique (nom, intérêt)</w:t>
      </w:r>
      <w:r w:rsidR="00412A5A">
        <w:t> ;</w:t>
      </w:r>
    </w:p>
    <w:p w:rsidR="00F03D63" w:rsidRDefault="00F03D63" w:rsidP="00F03D63">
      <w:r>
        <w:t>- le matériel nécessaire, ainsi qu'un schéma légendé</w:t>
      </w:r>
      <w:r w:rsidR="00412A5A">
        <w:t> ;</w:t>
      </w:r>
    </w:p>
    <w:p w:rsidR="00F03D63" w:rsidRDefault="00F03D63" w:rsidP="00F03D63">
      <w:r>
        <w:t>- un protocole (chaque étape étant listée avec un verbe à l'infinitif)</w:t>
      </w:r>
      <w:r w:rsidR="00412A5A">
        <w:t>.</w:t>
      </w:r>
    </w:p>
    <w:p w:rsidR="004B58AE" w:rsidRDefault="004B58AE" w:rsidP="00F03D63"/>
    <w:p w:rsidR="00FB1A8D" w:rsidRDefault="00FB1A8D" w:rsidP="00FB1A8D"/>
    <w:p w:rsidR="009C6893" w:rsidRDefault="009C6893" w:rsidP="009C6893">
      <w:pPr>
        <w:pStyle w:val="Titre2"/>
        <w:rPr>
          <w:color w:val="2E74B5"/>
        </w:rPr>
      </w:pPr>
      <w:r w:rsidRPr="00294DD1">
        <w:rPr>
          <w:color w:val="2E74B5"/>
        </w:rPr>
        <w:t>Consignes pour la tâche n°</w:t>
      </w:r>
      <w:r>
        <w:rPr>
          <w:color w:val="2E74B5"/>
        </w:rPr>
        <w:t>3</w:t>
      </w:r>
      <w:r w:rsidRPr="00294DD1">
        <w:rPr>
          <w:color w:val="2E74B5"/>
        </w:rPr>
        <w:t>.</w:t>
      </w:r>
    </w:p>
    <w:p w:rsidR="00EE5512" w:rsidRDefault="00EE5512" w:rsidP="00EE5512">
      <w:r>
        <w:t>Visionner la vidéo dont le lien est proposé dans le document 5</w:t>
      </w:r>
      <w:r w:rsidR="00DE764E">
        <w:t xml:space="preserve"> pour p</w:t>
      </w:r>
      <w:r w:rsidR="00DC00F0">
        <w:t>roposer</w:t>
      </w:r>
      <w:r>
        <w:t xml:space="preserve"> un protocole qui pourrait être utilisé par un élève de seconde permettant de reproduire la </w:t>
      </w:r>
      <w:r w:rsidR="00FB1A8D">
        <w:t>manipulation</w:t>
      </w:r>
      <w:r>
        <w:t xml:space="preserve">. </w:t>
      </w:r>
      <w:r w:rsidR="00DC00F0">
        <w:t>Il faut</w:t>
      </w:r>
      <w:r>
        <w:t xml:space="preserve"> donc rédiger </w:t>
      </w:r>
      <w:r w:rsidRPr="00DE764E">
        <w:rPr>
          <w:b/>
        </w:rPr>
        <w:t>une fiche descriptive</w:t>
      </w:r>
      <w:r>
        <w:t xml:space="preserve"> dans laquelle apparaitront : </w:t>
      </w:r>
    </w:p>
    <w:p w:rsidR="00EE5512" w:rsidRDefault="00EE5512" w:rsidP="00EE5512">
      <w:r>
        <w:t>- la présentation de la technique (nom, intérêt)</w:t>
      </w:r>
      <w:r w:rsidR="00412A5A">
        <w:t> ;</w:t>
      </w:r>
    </w:p>
    <w:p w:rsidR="00EE5512" w:rsidRDefault="00EE5512" w:rsidP="00EE5512">
      <w:r>
        <w:t>- le matériel nécessaire, ainsi qu'un schéma légendé</w:t>
      </w:r>
      <w:r w:rsidR="00412A5A">
        <w:t> ;</w:t>
      </w:r>
    </w:p>
    <w:p w:rsidR="00EE5512" w:rsidRDefault="00EE5512" w:rsidP="00EE5512">
      <w:r>
        <w:t>- un protocole (chaque étape étant listée avec un verbe à l'infinitif) s'arrêtant avant les lavages de la phase organique.</w:t>
      </w:r>
    </w:p>
    <w:p w:rsidR="00EE5512" w:rsidRDefault="00EE5512" w:rsidP="00EE5512">
      <w:r>
        <w:t xml:space="preserve">Analyser la CCM présentée dans le document 6 </w:t>
      </w:r>
      <w:r w:rsidR="003A178B">
        <w:t xml:space="preserve">et </w:t>
      </w:r>
      <w:r>
        <w:t xml:space="preserve">conclure quant à la composition réelle de l'huile essentielle obtenue par </w:t>
      </w:r>
      <w:proofErr w:type="spellStart"/>
      <w:r>
        <w:t>hydrodistillation</w:t>
      </w:r>
      <w:proofErr w:type="spellEnd"/>
      <w:r>
        <w:t>.</w:t>
      </w:r>
    </w:p>
    <w:p w:rsidR="00DE764E" w:rsidRDefault="006E1D0E" w:rsidP="00DE764E">
      <w:r>
        <w:t>Prévoir ce que pourrait donner l'analyse de la phase organique obtenue en fin de vidéo de la synthèse</w:t>
      </w:r>
      <w:r w:rsidR="003A178B">
        <w:t>.</w:t>
      </w:r>
    </w:p>
    <w:p w:rsidR="00DE764E" w:rsidRDefault="00DE764E" w:rsidP="00DE764E"/>
    <w:p w:rsidR="00FB1A8D" w:rsidRDefault="00FB1A8D" w:rsidP="00FB1A8D">
      <w:pPr>
        <w:rPr>
          <w:b/>
          <w:color w:val="auto"/>
        </w:rPr>
      </w:pPr>
    </w:p>
    <w:p w:rsidR="00113E46" w:rsidRDefault="00A50185" w:rsidP="00113E4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br w:type="page"/>
      </w:r>
      <w:r w:rsidR="00113E46" w:rsidRPr="009A2AB1">
        <w:rPr>
          <w:b/>
          <w:bCs/>
          <w:color w:val="0070C0"/>
          <w:sz w:val="28"/>
          <w:szCs w:val="28"/>
        </w:rPr>
        <w:lastRenderedPageBreak/>
        <w:t>Grille des compétences de la démarche scientifique</w:t>
      </w:r>
    </w:p>
    <w:p w:rsidR="00113E46" w:rsidRPr="009A2AB1" w:rsidRDefault="00113E46" w:rsidP="00113E4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Auto-positionnement</w:t>
      </w:r>
    </w:p>
    <w:p w:rsidR="00113E46" w:rsidRPr="009A2AB1" w:rsidRDefault="00113E46" w:rsidP="00113E46">
      <w:pPr>
        <w:rPr>
          <w:b/>
          <w:sz w:val="20"/>
        </w:rPr>
      </w:pP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seul</w:t>
      </w:r>
      <w:r>
        <w:rPr>
          <w:sz w:val="20"/>
        </w:rPr>
        <w:t>(e)</w:t>
      </w:r>
      <w:r w:rsidRPr="001A1A2B">
        <w:rPr>
          <w:sz w:val="20"/>
        </w:rPr>
        <w:t>, sans aucune aide</w:t>
      </w: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</w:t>
      </w:r>
      <w:r>
        <w:rPr>
          <w:sz w:val="20"/>
        </w:rPr>
        <w:t>’</w:t>
      </w:r>
      <w:r w:rsidRPr="001A1A2B">
        <w:rPr>
          <w:sz w:val="20"/>
        </w:rPr>
        <w:t>un autre groupe, de mon professeur)</w:t>
      </w: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plusieurs </w:t>
      </w:r>
      <w:r>
        <w:rPr>
          <w:sz w:val="20"/>
        </w:rPr>
        <w:t>« coups de pouce »</w:t>
      </w: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</w:t>
      </w:r>
      <w:r>
        <w:rPr>
          <w:sz w:val="20"/>
        </w:rPr>
        <w:t>’</w:t>
      </w:r>
      <w:r w:rsidRPr="001A1A2B">
        <w:rPr>
          <w:sz w:val="20"/>
        </w:rPr>
        <w:t>y suis p</w:t>
      </w:r>
      <w:r>
        <w:rPr>
          <w:sz w:val="20"/>
        </w:rPr>
        <w:t>as parvenu(e)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:rsidR="00113E46" w:rsidRDefault="00113E46" w:rsidP="00113E46">
      <w:pPr>
        <w:jc w:val="center"/>
        <w:rPr>
          <w:u w:val="single"/>
        </w:rPr>
      </w:pP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5866"/>
        <w:gridCol w:w="429"/>
        <w:gridCol w:w="430"/>
        <w:gridCol w:w="430"/>
        <w:gridCol w:w="430"/>
      </w:tblGrid>
      <w:tr w:rsidR="00113E46" w:rsidRPr="00134424" w:rsidTr="00FD6B78">
        <w:tc>
          <w:tcPr>
            <w:tcW w:w="1897" w:type="dxa"/>
            <w:tcBorders>
              <w:bottom w:val="single" w:sz="4" w:space="0" w:color="000000"/>
            </w:tcBorders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Compétences</w:t>
            </w:r>
          </w:p>
        </w:tc>
        <w:tc>
          <w:tcPr>
            <w:tcW w:w="5866" w:type="dxa"/>
            <w:shd w:val="clear" w:color="auto" w:fill="D9D9D9"/>
          </w:tcPr>
          <w:p w:rsidR="00113E46" w:rsidRPr="00A8526B" w:rsidRDefault="00113E46" w:rsidP="00FD6B78">
            <w:pPr>
              <w:jc w:val="center"/>
              <w:rPr>
                <w:b/>
              </w:rPr>
            </w:pPr>
            <w:r w:rsidRPr="00A8526B">
              <w:rPr>
                <w:rFonts w:cs="Tahoma"/>
                <w:b/>
                <w:szCs w:val="20"/>
              </w:rPr>
              <w:t>Critères de réussite correspondant au niveau A</w:t>
            </w:r>
          </w:p>
        </w:tc>
        <w:tc>
          <w:tcPr>
            <w:tcW w:w="429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A</w:t>
            </w:r>
          </w:p>
        </w:tc>
        <w:tc>
          <w:tcPr>
            <w:tcW w:w="430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B</w:t>
            </w:r>
          </w:p>
        </w:tc>
        <w:tc>
          <w:tcPr>
            <w:tcW w:w="430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C</w:t>
            </w:r>
          </w:p>
        </w:tc>
        <w:tc>
          <w:tcPr>
            <w:tcW w:w="430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D</w:t>
            </w:r>
          </w:p>
        </w:tc>
      </w:tr>
      <w:tr w:rsidR="00113E46" w:rsidTr="00FD6B78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>
              <w:rPr>
                <w:b/>
              </w:rPr>
              <w:t>S’APPROPRIER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4"/>
              </w:numPr>
            </w:pPr>
            <w:r>
              <w:t>Énoncer une problématique.</w:t>
            </w:r>
          </w:p>
          <w:p w:rsidR="00113E46" w:rsidRDefault="00113E46" w:rsidP="00FD6B78">
            <w:pPr>
              <w:numPr>
                <w:ilvl w:val="0"/>
                <w:numId w:val="4"/>
              </w:numPr>
            </w:pPr>
            <w:r>
              <w:t>Rechercher et organiser l’information en lien avec la problématique étudiée.</w:t>
            </w:r>
          </w:p>
          <w:p w:rsidR="00113E46" w:rsidRDefault="00113E46" w:rsidP="00FD6B78">
            <w:pPr>
              <w:numPr>
                <w:ilvl w:val="0"/>
                <w:numId w:val="4"/>
              </w:numPr>
            </w:pPr>
            <w:r>
              <w:t>Représenter la situation par un schéma.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113E46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ANALYSER</w:t>
            </w:r>
          </w:p>
          <w:p w:rsidR="00113E46" w:rsidRPr="002034AE" w:rsidRDefault="00113E46" w:rsidP="00FD6B78">
            <w:pPr>
              <w:jc w:val="center"/>
              <w:rPr>
                <w:b/>
              </w:rPr>
            </w:pPr>
            <w:r>
              <w:rPr>
                <w:b/>
              </w:rPr>
              <w:t>RAISONNER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Formuler des hypothèses.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Proposer une stratégie de résolution.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Planifier des tâches.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 xml:space="preserve">Évaluer des ordres de grandeur. 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Choisir un modèle ou des lois pertinentes.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Choisir, élaborer, justifier un protocole.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 xml:space="preserve">Faire des prévisions à l'aide d'un modèle. </w:t>
            </w:r>
          </w:p>
          <w:p w:rsidR="00113E46" w:rsidRPr="009A2AB1" w:rsidRDefault="00113E46" w:rsidP="00FD6B78">
            <w:pPr>
              <w:numPr>
                <w:ilvl w:val="0"/>
                <w:numId w:val="5"/>
              </w:numPr>
            </w:pPr>
            <w:r>
              <w:t>Procéder à des analogies.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rPr>
          <w:trHeight w:val="1950"/>
        </w:trPr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REALISER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6"/>
              </w:numPr>
            </w:pPr>
            <w:r>
              <w:t>Mettre en œuvre les étapes d’une démarche.</w:t>
            </w:r>
          </w:p>
          <w:p w:rsidR="00113E46" w:rsidRDefault="00113E46" w:rsidP="00FD6B78">
            <w:pPr>
              <w:numPr>
                <w:ilvl w:val="0"/>
                <w:numId w:val="6"/>
              </w:numPr>
            </w:pPr>
            <w:r>
              <w:t>Utiliser un modèle.</w:t>
            </w:r>
          </w:p>
          <w:p w:rsidR="00113E46" w:rsidRDefault="00113E46" w:rsidP="00FD6B78">
            <w:pPr>
              <w:numPr>
                <w:ilvl w:val="0"/>
                <w:numId w:val="6"/>
              </w:numPr>
            </w:pPr>
            <w:r>
              <w:t>Effectuer des procédures courantes (calculs, représentations, collectes de données etc.).</w:t>
            </w:r>
          </w:p>
          <w:p w:rsidR="00113E46" w:rsidRPr="009A2AB1" w:rsidRDefault="00113E46" w:rsidP="00FD6B78">
            <w:pPr>
              <w:numPr>
                <w:ilvl w:val="0"/>
                <w:numId w:val="6"/>
              </w:numPr>
            </w:pPr>
            <w:r>
              <w:t>Mettre en œuvre un protocole expérimental en respectant les règles de sécurité.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VALIDER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7"/>
              </w:numPr>
            </w:pPr>
            <w:r>
              <w:t>Faire preuve d’esprit critique, procéder à des tests de vraisemblance.</w:t>
            </w:r>
          </w:p>
          <w:p w:rsidR="00113E46" w:rsidRDefault="00113E46" w:rsidP="00FD6B78">
            <w:pPr>
              <w:numPr>
                <w:ilvl w:val="0"/>
                <w:numId w:val="7"/>
              </w:numPr>
            </w:pPr>
            <w:r>
              <w:t>Identifier des sources d’erreur, estimer une incertitude, comparer à une valeur de référence.</w:t>
            </w:r>
          </w:p>
          <w:p w:rsidR="00113E46" w:rsidRDefault="00113E46" w:rsidP="00FD6B78">
            <w:pPr>
              <w:numPr>
                <w:ilvl w:val="0"/>
                <w:numId w:val="7"/>
              </w:numPr>
            </w:pPr>
            <w:r>
              <w:t>Confronter un modèle à des résultats expérimentaux.</w:t>
            </w:r>
          </w:p>
          <w:p w:rsidR="00113E46" w:rsidRPr="009A2AB1" w:rsidRDefault="00113E46" w:rsidP="00FD6B78">
            <w:pPr>
              <w:numPr>
                <w:ilvl w:val="0"/>
                <w:numId w:val="7"/>
              </w:numPr>
            </w:pPr>
            <w:r>
              <w:t>Proposer d’éventuelles améliorations de la démarche ou du modèle.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COMMUNIQUER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r>
              <w:t>À l’écrit comme à l’oral :</w:t>
            </w:r>
          </w:p>
          <w:p w:rsidR="00113E46" w:rsidRDefault="00113E46" w:rsidP="00FD6B78">
            <w:pPr>
              <w:numPr>
                <w:ilvl w:val="0"/>
                <w:numId w:val="9"/>
              </w:numPr>
            </w:pPr>
            <w:proofErr w:type="gramStart"/>
            <w:r>
              <w:t>présenter</w:t>
            </w:r>
            <w:proofErr w:type="gramEnd"/>
            <w:r>
              <w:t xml:space="preserve"> une démarche de manière argumentée, synthétique et cohérente ; utiliser un vocabulaire adapté et choisir des modes de représentation appropriés ;</w:t>
            </w:r>
          </w:p>
          <w:p w:rsidR="00113E46" w:rsidRPr="009A2AB1" w:rsidRDefault="00113E46" w:rsidP="00FD6B78">
            <w:pPr>
              <w:numPr>
                <w:ilvl w:val="0"/>
                <w:numId w:val="9"/>
              </w:numPr>
            </w:pPr>
            <w:r>
              <w:t>échanger entre pairs.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</w:tbl>
    <w:p w:rsidR="00113E46" w:rsidRPr="00113E46" w:rsidRDefault="00113E46" w:rsidP="00113E46"/>
    <w:p w:rsidR="007D23A8" w:rsidRPr="007D23A8" w:rsidRDefault="007D23A8" w:rsidP="007D23A8"/>
    <w:p w:rsidR="007D23A8" w:rsidRPr="007D23A8" w:rsidRDefault="007D23A8" w:rsidP="007D23A8"/>
    <w:sectPr w:rsidR="007D23A8" w:rsidRPr="007D23A8" w:rsidSect="005501B4">
      <w:headerReference w:type="default" r:id="rId31"/>
      <w:footerReference w:type="default" r:id="rId32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3C" w:rsidRDefault="00C0703C" w:rsidP="00C139B6">
      <w:r>
        <w:separator/>
      </w:r>
    </w:p>
  </w:endnote>
  <w:endnote w:type="continuationSeparator" w:id="0">
    <w:p w:rsidR="00C0703C" w:rsidRDefault="00C0703C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Pr="007B68C9" w:rsidRDefault="004C6AB0" w:rsidP="005A1AD4">
    <w:pPr>
      <w:pStyle w:val="Pieddepage"/>
      <w:jc w:val="center"/>
      <w:rPr>
        <w:b/>
        <w:bCs/>
        <w:color w:val="FFFFFF"/>
        <w:sz w:val="20"/>
      </w:rPr>
    </w:pP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0C6474" w:rsidRPr="00837DE0" w:rsidRDefault="000C6474" w:rsidP="00367352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 w:rsidR="006A2FC4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0A70B4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489.9pt;margin-top:-7.85pt;width:3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" filled="f" stroked="f">
              <v:path arrowok="t"/>
              <v:textbox>
                <w:txbxContent>
                  <w:p w:rsidR="000C6474" w:rsidRPr="00837DE0" w:rsidRDefault="000C6474" w:rsidP="00367352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 w:rsidR="006A2FC4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0A70B4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1905" t="5715" r="2540" b="31115"/>
              <wp:wrapNone/>
              <wp:docPr id="2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FA25A" id="Arrondir un rectangle avec un coin diagonal 12" o:spid="_x0000_s1026" style="position:absolute;margin-left:481.95pt;margin-top:-12.4pt;width:56.6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0" t="0" r="0" b="1968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E92AE" id="Rectangle 8" o:spid="_x0000_s1026" style="position:absolute;margin-left:-56.95pt;margin-top:-2.4pt;width:595.3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0C6474" w:rsidRPr="007B68C9">
      <w:rPr>
        <w:b/>
        <w:bCs/>
        <w:noProof/>
        <w:color w:val="FFFFFF"/>
        <w:sz w:val="20"/>
        <w:lang w:eastAsia="fr-FR"/>
      </w:rPr>
      <w:t xml:space="preserve">Académie de Versailles – Groupe de travail </w:t>
    </w:r>
    <w:r w:rsidR="007B68C9" w:rsidRPr="007B68C9">
      <w:rPr>
        <w:b/>
        <w:bCs/>
        <w:noProof/>
        <w:color w:val="FFFFFF"/>
        <w:sz w:val="20"/>
        <w:lang w:eastAsia="fr-FR"/>
      </w:rPr>
      <w:t>STL – Année scolaire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3C" w:rsidRDefault="00C0703C" w:rsidP="00C139B6">
      <w:r>
        <w:separator/>
      </w:r>
    </w:p>
  </w:footnote>
  <w:footnote w:type="continuationSeparator" w:id="0">
    <w:p w:rsidR="00C0703C" w:rsidRDefault="00C0703C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Pr="00837DE0" w:rsidRDefault="004C6AB0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-122555</wp:posOffset>
              </wp:positionV>
              <wp:extent cx="7559675" cy="467995"/>
              <wp:effectExtent l="635" t="0" r="2540" b="2730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FFE69" id="Rectangle 6" o:spid="_x0000_s1026" style="position:absolute;margin-left:-56.65pt;margin-top:-9.65pt;width:595.2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-141605</wp:posOffset>
              </wp:positionV>
              <wp:extent cx="993775" cy="500380"/>
              <wp:effectExtent l="3810" t="1270" r="2540" b="31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C9" w:rsidRDefault="004C6AB0">
                          <w:r w:rsidRPr="00FF009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808990" cy="407035"/>
                                <wp:effectExtent l="0" t="0" r="0" b="0"/>
                                <wp:docPr id="1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8990" cy="40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3.95pt;margin-top:-11.15pt;width:78.25pt;height:39.4pt;z-index:2516597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" filled="f" stroked="f">
              <v:textbox style="mso-fit-shape-to-text:t">
                <w:txbxContent>
                  <w:p w:rsidR="007B68C9" w:rsidRDefault="004C6AB0">
                    <w:r w:rsidRPr="00FF009D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08990" cy="407035"/>
                          <wp:effectExtent l="0" t="0" r="0" b="0"/>
                          <wp:docPr id="1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990" cy="40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474" w:rsidRPr="00837DE0">
      <w:rPr>
        <w:b/>
        <w:color w:val="FFFFFF"/>
        <w:sz w:val="28"/>
      </w:rPr>
      <w:t xml:space="preserve">Document </w:t>
    </w:r>
    <w:r w:rsidR="007D23A8">
      <w:rPr>
        <w:b/>
        <w:color w:val="FFFFFF"/>
        <w:sz w:val="28"/>
      </w:rPr>
      <w:t>élève</w:t>
    </w:r>
    <w:r w:rsidR="004B58AE">
      <w:rPr>
        <w:b/>
        <w:color w:val="FFFFFF"/>
        <w:sz w:val="28"/>
      </w:rPr>
      <w:t xml:space="preserve"> - Seconde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960"/>
      </v:shape>
    </w:pict>
  </w:numPicBullet>
  <w:abstractNum w:abstractNumId="0" w15:restartNumberingAfterBreak="0">
    <w:nsid w:val="FFFFFF1D"/>
    <w:multiLevelType w:val="multilevel"/>
    <w:tmpl w:val="FA60D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42CE"/>
    <w:multiLevelType w:val="hybridMultilevel"/>
    <w:tmpl w:val="1AC8C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08A6"/>
    <w:multiLevelType w:val="hybridMultilevel"/>
    <w:tmpl w:val="D11EF42E"/>
    <w:lvl w:ilvl="0" w:tplc="7D824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680F"/>
    <w:multiLevelType w:val="hybridMultilevel"/>
    <w:tmpl w:val="A43AE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5347E"/>
    <w:multiLevelType w:val="hybridMultilevel"/>
    <w:tmpl w:val="0F882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604C"/>
    <w:multiLevelType w:val="hybridMultilevel"/>
    <w:tmpl w:val="AC360ABC"/>
    <w:lvl w:ilvl="0" w:tplc="148A399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FC3"/>
    <w:multiLevelType w:val="hybridMultilevel"/>
    <w:tmpl w:val="F1387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46B"/>
    <w:multiLevelType w:val="hybridMultilevel"/>
    <w:tmpl w:val="9D728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3131"/>
    <w:multiLevelType w:val="hybridMultilevel"/>
    <w:tmpl w:val="A6126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C7D15"/>
    <w:multiLevelType w:val="hybridMultilevel"/>
    <w:tmpl w:val="73BC5C20"/>
    <w:lvl w:ilvl="0" w:tplc="BA60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26DE"/>
    <w:multiLevelType w:val="hybridMultilevel"/>
    <w:tmpl w:val="A5DC7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6DDB"/>
    <w:multiLevelType w:val="hybridMultilevel"/>
    <w:tmpl w:val="3AAA1F28"/>
    <w:lvl w:ilvl="0" w:tplc="D108AE5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109"/>
    <w:multiLevelType w:val="hybridMultilevel"/>
    <w:tmpl w:val="A5DEB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7D8"/>
    <w:multiLevelType w:val="hybridMultilevel"/>
    <w:tmpl w:val="55A27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54CD"/>
    <w:multiLevelType w:val="hybridMultilevel"/>
    <w:tmpl w:val="EE04B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34DD"/>
    <w:multiLevelType w:val="hybridMultilevel"/>
    <w:tmpl w:val="67F0F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240D7"/>
    <w:multiLevelType w:val="hybridMultilevel"/>
    <w:tmpl w:val="68A4F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119A"/>
    <w:multiLevelType w:val="hybridMultilevel"/>
    <w:tmpl w:val="CAA82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403E"/>
    <w:multiLevelType w:val="hybridMultilevel"/>
    <w:tmpl w:val="87960C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46728"/>
    <w:multiLevelType w:val="hybridMultilevel"/>
    <w:tmpl w:val="4D6E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55DD9"/>
    <w:multiLevelType w:val="hybridMultilevel"/>
    <w:tmpl w:val="4D9EF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28D0"/>
    <w:multiLevelType w:val="hybridMultilevel"/>
    <w:tmpl w:val="72B0540A"/>
    <w:lvl w:ilvl="0" w:tplc="BBA676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4F37"/>
    <w:multiLevelType w:val="hybridMultilevel"/>
    <w:tmpl w:val="87E04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23"/>
  </w:num>
  <w:num w:numId="5">
    <w:abstractNumId w:val="20"/>
  </w:num>
  <w:num w:numId="6">
    <w:abstractNumId w:val="15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8"/>
  </w:num>
  <w:num w:numId="15">
    <w:abstractNumId w:val="16"/>
  </w:num>
  <w:num w:numId="16">
    <w:abstractNumId w:val="14"/>
  </w:num>
  <w:num w:numId="17">
    <w:abstractNumId w:val="6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02"/>
    <w:rsid w:val="00016FBC"/>
    <w:rsid w:val="000A70B4"/>
    <w:rsid w:val="000B07D2"/>
    <w:rsid w:val="000C6474"/>
    <w:rsid w:val="000F1837"/>
    <w:rsid w:val="0010310B"/>
    <w:rsid w:val="00113E46"/>
    <w:rsid w:val="00144E52"/>
    <w:rsid w:val="001701A3"/>
    <w:rsid w:val="002034AE"/>
    <w:rsid w:val="00250323"/>
    <w:rsid w:val="0025739D"/>
    <w:rsid w:val="002707A5"/>
    <w:rsid w:val="002A0ED1"/>
    <w:rsid w:val="002D7168"/>
    <w:rsid w:val="002F0728"/>
    <w:rsid w:val="003367D1"/>
    <w:rsid w:val="00367352"/>
    <w:rsid w:val="003975FB"/>
    <w:rsid w:val="00397BEF"/>
    <w:rsid w:val="003A15B3"/>
    <w:rsid w:val="003A178B"/>
    <w:rsid w:val="003B739B"/>
    <w:rsid w:val="003C4CB9"/>
    <w:rsid w:val="003D1C0E"/>
    <w:rsid w:val="003D2573"/>
    <w:rsid w:val="003E0F12"/>
    <w:rsid w:val="00412A5A"/>
    <w:rsid w:val="004B58AE"/>
    <w:rsid w:val="004C5C1E"/>
    <w:rsid w:val="004C6AB0"/>
    <w:rsid w:val="0050188E"/>
    <w:rsid w:val="005501B4"/>
    <w:rsid w:val="005A1AD4"/>
    <w:rsid w:val="005E56AB"/>
    <w:rsid w:val="00602533"/>
    <w:rsid w:val="00603199"/>
    <w:rsid w:val="00624620"/>
    <w:rsid w:val="006352FD"/>
    <w:rsid w:val="00636A00"/>
    <w:rsid w:val="00665DAA"/>
    <w:rsid w:val="00681B02"/>
    <w:rsid w:val="00696F20"/>
    <w:rsid w:val="006A2FC4"/>
    <w:rsid w:val="006B4132"/>
    <w:rsid w:val="006B7C0F"/>
    <w:rsid w:val="006E1D0E"/>
    <w:rsid w:val="006F4009"/>
    <w:rsid w:val="007074ED"/>
    <w:rsid w:val="00741073"/>
    <w:rsid w:val="007A7957"/>
    <w:rsid w:val="007B68C9"/>
    <w:rsid w:val="007C6785"/>
    <w:rsid w:val="007D23A8"/>
    <w:rsid w:val="007E50F9"/>
    <w:rsid w:val="00837DE0"/>
    <w:rsid w:val="008918CB"/>
    <w:rsid w:val="008C4864"/>
    <w:rsid w:val="008D4F54"/>
    <w:rsid w:val="008D69B8"/>
    <w:rsid w:val="00904BCB"/>
    <w:rsid w:val="0094256F"/>
    <w:rsid w:val="00984EAB"/>
    <w:rsid w:val="009A2AB1"/>
    <w:rsid w:val="009C5515"/>
    <w:rsid w:val="009C6893"/>
    <w:rsid w:val="009D3982"/>
    <w:rsid w:val="009E027F"/>
    <w:rsid w:val="009F4931"/>
    <w:rsid w:val="00A01F80"/>
    <w:rsid w:val="00A27C55"/>
    <w:rsid w:val="00A50185"/>
    <w:rsid w:val="00A87965"/>
    <w:rsid w:val="00AB5617"/>
    <w:rsid w:val="00AC2CB2"/>
    <w:rsid w:val="00AF0F3C"/>
    <w:rsid w:val="00AF4C1B"/>
    <w:rsid w:val="00B3444A"/>
    <w:rsid w:val="00B42013"/>
    <w:rsid w:val="00B45FA9"/>
    <w:rsid w:val="00B50B45"/>
    <w:rsid w:val="00B62170"/>
    <w:rsid w:val="00B8331A"/>
    <w:rsid w:val="00B85B6C"/>
    <w:rsid w:val="00BA2FD7"/>
    <w:rsid w:val="00C0703C"/>
    <w:rsid w:val="00C136C7"/>
    <w:rsid w:val="00C139B6"/>
    <w:rsid w:val="00C40FFE"/>
    <w:rsid w:val="00C75995"/>
    <w:rsid w:val="00C90D7B"/>
    <w:rsid w:val="00C9232C"/>
    <w:rsid w:val="00CA574D"/>
    <w:rsid w:val="00CE1E63"/>
    <w:rsid w:val="00D21F3B"/>
    <w:rsid w:val="00D63A21"/>
    <w:rsid w:val="00D751F5"/>
    <w:rsid w:val="00DC00F0"/>
    <w:rsid w:val="00DD4EE7"/>
    <w:rsid w:val="00DE764E"/>
    <w:rsid w:val="00DF5463"/>
    <w:rsid w:val="00E11E70"/>
    <w:rsid w:val="00E17081"/>
    <w:rsid w:val="00E940AE"/>
    <w:rsid w:val="00E957A9"/>
    <w:rsid w:val="00EA05C6"/>
    <w:rsid w:val="00EE5512"/>
    <w:rsid w:val="00EF4CBC"/>
    <w:rsid w:val="00F03D63"/>
    <w:rsid w:val="00F06A01"/>
    <w:rsid w:val="00F17707"/>
    <w:rsid w:val="00F219D7"/>
    <w:rsid w:val="00F318DA"/>
    <w:rsid w:val="00F3423B"/>
    <w:rsid w:val="00F541FD"/>
    <w:rsid w:val="00F62391"/>
    <w:rsid w:val="00F7731D"/>
    <w:rsid w:val="00FA0CA3"/>
    <w:rsid w:val="00FB1A8D"/>
    <w:rsid w:val="00FB548E"/>
    <w:rsid w:val="00FD53A2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E7365"/>
  <w14:defaultImageDpi w14:val="300"/>
  <w15:chartTrackingRefBased/>
  <w15:docId w15:val="{5ED11992-29C6-4D21-BF68-44E6C4E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02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Default">
    <w:name w:val="Default"/>
    <w:rsid w:val="00681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681B02"/>
    <w:rPr>
      <w:rFonts w:ascii="Arial" w:hAnsi="Arial"/>
      <w:b/>
      <w:color w:val="auto"/>
      <w:sz w:val="20"/>
      <w:szCs w:val="22"/>
      <w:lang w:val="x-none" w:eastAsia="en-US"/>
    </w:rPr>
  </w:style>
  <w:style w:type="character" w:customStyle="1" w:styleId="Corpsdetexte3Car">
    <w:name w:val="Corps de texte 3 Car"/>
    <w:link w:val="Corpsdetexte3"/>
    <w:rsid w:val="00681B02"/>
    <w:rPr>
      <w:rFonts w:ascii="Arial" w:eastAsia="Times New Roman" w:hAnsi="Arial"/>
      <w:b/>
      <w:szCs w:val="22"/>
      <w:lang w:val="x-none" w:eastAsia="en-US"/>
    </w:rPr>
  </w:style>
  <w:style w:type="character" w:styleId="Appelnotedebasdep">
    <w:name w:val="footnote reference"/>
    <w:rsid w:val="00681B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0D7B"/>
    <w:pPr>
      <w:spacing w:before="100" w:beforeAutospacing="1" w:after="100" w:afterAutospacing="1"/>
      <w:jc w:val="left"/>
    </w:pPr>
    <w:rPr>
      <w:rFonts w:ascii="Times New Roman" w:hAnsi="Times New Roman"/>
      <w:color w:val="auto"/>
      <w:lang w:eastAsia="fr-FR"/>
    </w:rPr>
  </w:style>
  <w:style w:type="table" w:styleId="Grilledutableau">
    <w:name w:val="Table Grid"/>
    <w:basedOn w:val="TableauNormal"/>
    <w:uiPriority w:val="59"/>
    <w:rsid w:val="007D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AF4C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B85B6C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85B6C"/>
    <w:rPr>
      <w:rFonts w:ascii="Calibri" w:eastAsia="Times New Roman" w:hAnsi="Calibri"/>
      <w:color w:val="000000"/>
      <w:sz w:val="24"/>
      <w:szCs w:val="24"/>
      <w:lang w:eastAsia="ja-JP"/>
    </w:rPr>
  </w:style>
  <w:style w:type="table" w:customStyle="1" w:styleId="Grilledutableau3">
    <w:name w:val="Grille du tableau3"/>
    <w:basedOn w:val="TableauNormal"/>
    <w:next w:val="Grilledutableau"/>
    <w:rsid w:val="00B85B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7599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94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commons.wikimedia.org/wiki/File:GHS-pictogram-pollu.svg" TargetMode="External"/><Relationship Id="rId26" Type="http://schemas.openxmlformats.org/officeDocument/2006/relationships/hyperlink" Target="https://www.youtube.com/watch?v=wOwYwg7JOo0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r.maieutik.org/wiki/Image:Acetone-structural_1299408797.p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Lz6ARlFxZi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GHS-pictogram-silhouete.svg" TargetMode="External"/><Relationship Id="rId20" Type="http://schemas.openxmlformats.org/officeDocument/2006/relationships/hyperlink" Target="http://commons.wikimedia.org/wiki/File:GHS-pictogram-exclam.svg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https://www.youtube.com/watch?v=IueJCgpbqoY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GHS-pictogram-flamme.svg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yperlink" Target="http://aromatherapie-lavande.over-blog.com/article-5873366.html" TargetMode="External"/><Relationship Id="rId8" Type="http://schemas.openxmlformats.org/officeDocument/2006/relationships/hyperlink" Target="https://www.youtube.com/watch?v=KSa3qAl5-M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0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966C8-C73F-44CE-A959-93E45F8E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9168</CharactersWithSpaces>
  <SharedDoc>false</SharedDoc>
  <HyperlinkBase/>
  <HLinks>
    <vt:vector size="78" baseType="variant"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>http://aromatherapie-lavande.over-blog.com/article-5873366.html</vt:lpwstr>
      </vt:variant>
      <vt:variant>
        <vt:lpwstr/>
      </vt:variant>
      <vt:variant>
        <vt:i4>2752545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https://www.youtube.com/watch?v=IueJCgpbqoY</vt:lpwstr>
      </vt:variant>
      <vt:variant>
        <vt:lpwstr/>
      </vt:variant>
      <vt:variant>
        <vt:i4>2818144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https://www.youtube.com/watch?v=wOwYwg7JOo0</vt:lpwstr>
      </vt:variant>
      <vt:variant>
        <vt:lpwstr/>
      </vt:variant>
      <vt:variant>
        <vt:i4>3735675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https://www.youtube.com/watch?v=Lz6ARlFxZiY</vt:lpwstr>
      </vt:variant>
      <vt:variant>
        <vt:lpwstr/>
      </vt:variant>
      <vt:variant>
        <vt:i4>3276925</vt:i4>
      </vt:variant>
      <vt:variant>
        <vt:i4>27</vt:i4>
      </vt:variant>
      <vt:variant>
        <vt:i4>0</vt:i4>
      </vt:variant>
      <vt:variant>
        <vt:i4>5</vt:i4>
      </vt:variant>
      <vt:variant>
        <vt:lpwstr>http://commons.wikimedia.org/wiki/File:GHS-pictogram-exclam.svg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http://commons.wikimedia.org/wiki/File:GHS-pictogram-flamme.svg</vt:lpwstr>
      </vt:variant>
      <vt:variant>
        <vt:lpwstr/>
      </vt:variant>
      <vt:variant>
        <vt:i4>4128864</vt:i4>
      </vt:variant>
      <vt:variant>
        <vt:i4>21</vt:i4>
      </vt:variant>
      <vt:variant>
        <vt:i4>0</vt:i4>
      </vt:variant>
      <vt:variant>
        <vt:i4>5</vt:i4>
      </vt:variant>
      <vt:variant>
        <vt:lpwstr>http://commons.wikimedia.org/wiki/File:GHS-pictogram-flamme.svg</vt:lpwstr>
      </vt:variant>
      <vt:variant>
        <vt:lpwstr/>
      </vt:variant>
      <vt:variant>
        <vt:i4>3276925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http://commons.wikimedia.org/wiki/File:GHS-pictogram-exclam.svg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http://commons.wikimedia.org/wiki/File:GHS-pictogram-pollu.svg</vt:lpwstr>
      </vt:variant>
      <vt:variant>
        <vt:lpwstr/>
      </vt:variant>
      <vt:variant>
        <vt:i4>6881327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http://commons.wikimedia.org/wiki/File:GHS-pictogram-silhouete.svg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http://commons.wikimedia.org/wiki/File:GHS-pictogram-flamme.svg</vt:lpwstr>
      </vt:variant>
      <vt:variant>
        <vt:lpwstr/>
      </vt:variant>
      <vt:variant>
        <vt:i4>3211281</vt:i4>
      </vt:variant>
      <vt:variant>
        <vt:i4>6</vt:i4>
      </vt:variant>
      <vt:variant>
        <vt:i4>0</vt:i4>
      </vt:variant>
      <vt:variant>
        <vt:i4>5</vt:i4>
      </vt:variant>
      <vt:variant>
        <vt:lpwstr>http://fr.maieutik.org/wiki/Image:Acetone-structural_1299408797.png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https://www.youtube.com/watch?v=KSa3qAl5-M4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LATOUCHE</dc:creator>
  <cp:keywords/>
  <dc:description/>
  <cp:lastModifiedBy>Bertrand Lissillour</cp:lastModifiedBy>
  <cp:revision>3</cp:revision>
  <cp:lastPrinted>2012-10-30T08:50:00Z</cp:lastPrinted>
  <dcterms:created xsi:type="dcterms:W3CDTF">2020-03-25T16:59:00Z</dcterms:created>
  <dcterms:modified xsi:type="dcterms:W3CDTF">2020-03-25T17:12:00Z</dcterms:modified>
  <cp:category/>
</cp:coreProperties>
</file>